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0" distR="0" simplePos="0" relativeHeight="251659264" behindDoc="0" locked="0" layoutInCell="1" allowOverlap="1">
            <wp:simplePos x="0" y="0"/>
            <wp:positionH relativeFrom="column">
              <wp:posOffset>39370</wp:posOffset>
            </wp:positionH>
            <wp:positionV relativeFrom="paragraph">
              <wp:posOffset>20320</wp:posOffset>
            </wp:positionV>
            <wp:extent cx="2494280" cy="800100"/>
            <wp:effectExtent l="0" t="0" r="1270" b="0"/>
            <wp:wrapNone/>
            <wp:docPr id="1" name="图片 2" descr="吉大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吉大标志"/>
                    <pic:cNvPicPr>
                      <a:picLocks noChangeAspect="1" noChangeArrowheads="1"/>
                    </pic:cNvPicPr>
                  </pic:nvPicPr>
                  <pic:blipFill>
                    <a:blip r:embed="rId5"/>
                    <a:stretch>
                      <a:fillRect/>
                    </a:stretch>
                  </pic:blipFill>
                  <pic:spPr>
                    <a:xfrm>
                      <a:off x="0" y="0"/>
                      <a:ext cx="2494280" cy="800100"/>
                    </a:xfrm>
                    <a:prstGeom prst="rect">
                      <a:avLst/>
                    </a:prstGeom>
                  </pic:spPr>
                </pic:pic>
              </a:graphicData>
            </a:graphic>
          </wp:anchor>
        </w:drawing>
      </w:r>
    </w:p>
    <w:p>
      <w:pPr>
        <w:spacing w:line="360" w:lineRule="auto"/>
        <w:jc w:val="center"/>
      </w:pPr>
      <w:r>
        <w:tab/>
      </w:r>
    </w:p>
    <w:p>
      <w:pPr>
        <w:spacing w:line="360" w:lineRule="auto"/>
        <w:jc w:val="center"/>
        <w:rPr>
          <w:b w:val="0"/>
          <w:bCs w:val="0"/>
        </w:rPr>
      </w:pPr>
    </w:p>
    <w:p>
      <w:pPr>
        <w:spacing w:line="360" w:lineRule="auto"/>
        <w:jc w:val="center"/>
        <w:rPr>
          <w:rFonts w:hint="default" w:ascii="宋体" w:hAnsi="宋体" w:eastAsia="宋体" w:cs="宋体"/>
          <w:b/>
          <w:bCs/>
          <w:color w:val="000000"/>
          <w:spacing w:val="-6"/>
          <w:w w:val="70"/>
          <w:sz w:val="72"/>
          <w:szCs w:val="72"/>
          <w:lang w:val="en-US" w:eastAsia="zh-CN"/>
        </w:rPr>
      </w:pPr>
      <w:bookmarkStart w:id="0" w:name="_Toc18875_WPSOffice_Level1"/>
      <w:r>
        <w:rPr>
          <w:rFonts w:hint="default" w:ascii="宋体" w:hAnsi="宋体" w:eastAsia="宋体" w:cs="宋体"/>
          <w:b/>
          <w:bCs/>
          <w:color w:val="000000"/>
          <w:spacing w:val="-6"/>
          <w:w w:val="70"/>
          <w:sz w:val="72"/>
          <w:szCs w:val="72"/>
          <w:lang w:val="en-US" w:eastAsia="zh-CN"/>
        </w:rPr>
        <w:t>信息科学与工程学院</w:t>
      </w:r>
    </w:p>
    <w:p>
      <w:pPr>
        <w:spacing w:line="360" w:lineRule="auto"/>
        <w:jc w:val="center"/>
        <w:rPr>
          <w:rFonts w:hint="eastAsia" w:ascii="宋体" w:hAnsi="宋体" w:eastAsia="宋体" w:cs="宋体"/>
          <w:b/>
          <w:bCs/>
          <w:sz w:val="22"/>
          <w:szCs w:val="28"/>
        </w:rPr>
      </w:pPr>
      <w:r>
        <w:rPr>
          <w:rFonts w:hint="eastAsia" w:ascii="宋体" w:hAnsi="宋体" w:eastAsia="宋体" w:cs="宋体"/>
          <w:b/>
          <w:bCs/>
          <w:color w:val="000000"/>
          <w:spacing w:val="-6"/>
          <w:w w:val="70"/>
          <w:sz w:val="96"/>
          <w:szCs w:val="96"/>
        </w:rPr>
        <w:t>20</w:t>
      </w:r>
      <w:r>
        <w:rPr>
          <w:rFonts w:hint="eastAsia" w:ascii="宋体" w:hAnsi="宋体" w:eastAsia="宋体" w:cs="宋体"/>
          <w:b/>
          <w:bCs/>
          <w:color w:val="000000"/>
          <w:spacing w:val="-6"/>
          <w:w w:val="70"/>
          <w:sz w:val="96"/>
          <w:szCs w:val="96"/>
          <w:lang w:val="en-US" w:eastAsia="zh-CN"/>
        </w:rPr>
        <w:t>21</w:t>
      </w:r>
      <w:r>
        <w:rPr>
          <w:rFonts w:hint="eastAsia" w:ascii="宋体" w:hAnsi="宋体" w:eastAsia="宋体" w:cs="宋体"/>
          <w:b/>
          <w:bCs/>
          <w:color w:val="000000"/>
          <w:spacing w:val="-6"/>
          <w:w w:val="70"/>
          <w:sz w:val="96"/>
          <w:szCs w:val="96"/>
          <w:lang w:eastAsia="zh-CN"/>
        </w:rPr>
        <w:t>年度</w:t>
      </w:r>
      <w:r>
        <w:rPr>
          <w:rFonts w:hint="eastAsia" w:ascii="宋体" w:hAnsi="宋体" w:eastAsia="宋体" w:cs="宋体"/>
          <w:b/>
          <w:bCs/>
          <w:color w:val="000000"/>
          <w:spacing w:val="-6"/>
          <w:w w:val="70"/>
          <w:sz w:val="96"/>
          <w:szCs w:val="96"/>
        </w:rPr>
        <w:t>就业</w:t>
      </w:r>
      <w:bookmarkEnd w:id="0"/>
      <w:r>
        <w:rPr>
          <w:rFonts w:hint="eastAsia" w:ascii="宋体" w:hAnsi="宋体" w:eastAsia="宋体" w:cs="宋体"/>
          <w:b/>
          <w:bCs/>
          <w:color w:val="000000"/>
          <w:spacing w:val="-6"/>
          <w:w w:val="70"/>
          <w:sz w:val="96"/>
          <w:szCs w:val="96"/>
        </w:rPr>
        <w:t>质量报告</w:t>
      </w:r>
    </w:p>
    <w:p>
      <w:pPr>
        <w:spacing w:line="360" w:lineRule="auto"/>
        <w:jc w:val="center"/>
        <w:rPr>
          <w:rFonts w:ascii="仿宋_GB2312" w:hAnsi="仿宋_GB2312" w:eastAsia="仿宋_GB2312"/>
          <w:color w:val="000000"/>
          <w:sz w:val="72"/>
          <w:szCs w:val="72"/>
        </w:rPr>
      </w:pPr>
    </w:p>
    <w:p>
      <w:pPr>
        <w:spacing w:line="360" w:lineRule="auto"/>
        <w:jc w:val="center"/>
        <w:rPr>
          <w:rFonts w:hint="eastAsia" w:ascii="仿宋_GB2312" w:hAnsi="仿宋_GB2312" w:eastAsia="仿宋_GB2312"/>
          <w:color w:val="000000"/>
          <w:sz w:val="72"/>
          <w:szCs w:val="72"/>
          <w:lang w:eastAsia="zh-CN"/>
        </w:rPr>
      </w:pPr>
      <w:r>
        <w:rPr>
          <w:rFonts w:hint="eastAsia" w:ascii="仿宋_GB2312" w:hAnsi="仿宋_GB2312" w:eastAsia="仿宋_GB2312"/>
          <w:color w:val="000000"/>
          <w:sz w:val="72"/>
          <w:szCs w:val="72"/>
          <w:lang w:eastAsia="zh-CN"/>
        </w:rPr>
        <w:drawing>
          <wp:inline distT="0" distB="0" distL="114300" distR="114300">
            <wp:extent cx="4975860" cy="4201795"/>
            <wp:effectExtent l="15875" t="0" r="56515" b="87630"/>
            <wp:docPr id="7" name="图片 7" descr="微信截图_2020120910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1209102649"/>
                    <pic:cNvPicPr>
                      <a:picLocks noChangeAspect="1"/>
                    </pic:cNvPicPr>
                  </pic:nvPicPr>
                  <pic:blipFill>
                    <a:blip r:embed="rId6"/>
                    <a:stretch>
                      <a:fillRect/>
                    </a:stretch>
                  </pic:blipFill>
                  <pic:spPr>
                    <a:xfrm>
                      <a:off x="0" y="0"/>
                      <a:ext cx="4975860" cy="4201795"/>
                    </a:xfrm>
                    <a:prstGeom prst="rect">
                      <a:avLst/>
                    </a:prstGeom>
                    <a:effectLst>
                      <a:outerShdw blurRad="50800" dist="38100" dir="2700000" algn="tl" rotWithShape="0">
                        <a:prstClr val="black">
                          <a:alpha val="40000"/>
                        </a:prstClr>
                      </a:outerShdw>
                      <a:softEdge rad="127000"/>
                    </a:effectLst>
                  </pic:spPr>
                </pic:pic>
              </a:graphicData>
            </a:graphic>
          </wp:inline>
        </w:drawing>
      </w:r>
    </w:p>
    <w:p>
      <w:pPr>
        <w:jc w:val="center"/>
        <w:rPr>
          <w:rFonts w:hint="default" w:ascii="Times New Roman" w:hAnsi="Times New Roman" w:eastAsia="仿宋" w:cs="Times New Roman"/>
          <w:b/>
          <w:bCs/>
          <w:color w:val="000000"/>
          <w:sz w:val="44"/>
          <w:szCs w:val="44"/>
        </w:rPr>
      </w:pPr>
      <w:bookmarkStart w:id="1" w:name="_Toc22544_WPSOffice_Level1"/>
    </w:p>
    <w:p>
      <w:pPr>
        <w:jc w:val="center"/>
        <w:rPr>
          <w:rFonts w:hint="default" w:ascii="Times New Roman" w:hAnsi="Times New Roman" w:eastAsia="仿宋" w:cs="Times New Roman"/>
          <w:b/>
          <w:bCs/>
          <w:color w:val="000000"/>
          <w:sz w:val="44"/>
          <w:szCs w:val="44"/>
        </w:rPr>
      </w:pPr>
    </w:p>
    <w:p>
      <w:pPr>
        <w:jc w:val="center"/>
        <w:rPr>
          <w:rFonts w:hint="default" w:ascii="Times New Roman" w:hAnsi="Times New Roman" w:eastAsia="仿宋" w:cs="Times New Roman"/>
          <w:b/>
          <w:bCs/>
        </w:rPr>
        <w:sectPr>
          <w:pgSz w:w="11906" w:h="16838"/>
          <w:pgMar w:top="1440" w:right="1800" w:bottom="1440" w:left="1800" w:header="0" w:footer="0" w:gutter="0"/>
          <w:pgNumType w:fmt="decimal"/>
          <w:cols w:space="720" w:num="1"/>
          <w:formProt w:val="0"/>
          <w:docGrid w:type="lines" w:linePitch="312" w:charSpace="0"/>
        </w:sectPr>
      </w:pPr>
      <w:r>
        <w:rPr>
          <w:rFonts w:hint="default" w:ascii="Times New Roman" w:hAnsi="Times New Roman" w:eastAsia="仿宋" w:cs="Times New Roman"/>
          <w:b/>
          <w:bCs/>
          <w:color w:val="000000"/>
          <w:sz w:val="44"/>
          <w:szCs w:val="44"/>
        </w:rPr>
        <w:t>20</w:t>
      </w:r>
      <w:r>
        <w:rPr>
          <w:rFonts w:hint="eastAsia" w:ascii="Times New Roman" w:hAnsi="Times New Roman" w:eastAsia="仿宋" w:cs="Times New Roman"/>
          <w:b/>
          <w:bCs/>
          <w:color w:val="000000"/>
          <w:sz w:val="44"/>
          <w:szCs w:val="44"/>
          <w:lang w:val="en-US" w:eastAsia="zh-CN"/>
        </w:rPr>
        <w:t>21</w:t>
      </w:r>
      <w:r>
        <w:rPr>
          <w:rFonts w:hint="default" w:ascii="Times New Roman" w:hAnsi="Times New Roman" w:eastAsia="仿宋" w:cs="Times New Roman"/>
          <w:b/>
          <w:bCs/>
          <w:color w:val="000000"/>
          <w:sz w:val="44"/>
          <w:szCs w:val="44"/>
        </w:rPr>
        <w:t>年12月</w:t>
      </w:r>
      <w:bookmarkEnd w:id="1"/>
    </w:p>
    <w:sdt>
      <w:sdtPr>
        <w:id w:val="1"/>
        <w:docPartObj>
          <w:docPartGallery w:val="Table of Contents"/>
          <w:docPartUnique/>
        </w:docPartObj>
      </w:sdtPr>
      <w:sdtEndPr>
        <w:rPr>
          <w:rFonts w:hint="default" w:ascii="Times New Roman" w:hAnsi="Times New Roman" w:eastAsia="宋体" w:cs="Times New Roman"/>
          <w:sz w:val="28"/>
          <w:szCs w:val="28"/>
        </w:rPr>
      </w:sdtEndPr>
      <w:sdtContent>
        <w:p>
          <w:pPr>
            <w:spacing w:before="0" w:after="0" w:line="240" w:lineRule="auto"/>
            <w:ind w:left="420" w:right="0" w:firstLine="0"/>
            <w:jc w:val="center"/>
            <w:rPr>
              <w:rFonts w:hint="default" w:ascii="Times New Roman" w:hAnsi="Times New Roman" w:eastAsia="宋体" w:cs="Times New Roman"/>
            </w:rPr>
          </w:pPr>
          <w:r>
            <w:rPr>
              <w:rFonts w:hint="default" w:ascii="Times New Roman" w:hAnsi="Times New Roman" w:eastAsia="宋体" w:cs="Times New Roman"/>
              <w:sz w:val="44"/>
              <w:szCs w:val="44"/>
            </w:rPr>
            <w:t>目录</w:t>
          </w:r>
        </w:p>
        <w:p>
          <w:pPr>
            <w:pStyle w:val="10"/>
            <w:tabs>
              <w:tab w:val="right" w:leader="dot" w:pos="8306"/>
            </w:tabs>
            <w:spacing w:line="360" w:lineRule="auto"/>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Style w:val="21"/>
              <w:rFonts w:hint="default" w:ascii="Times New Roman" w:hAnsi="Times New Roman" w:eastAsia="宋体" w:cs="Times New Roman"/>
              <w:vanish w:val="0"/>
              <w:sz w:val="28"/>
              <w:szCs w:val="28"/>
            </w:rPr>
            <w:instrText xml:space="preserve">TOC \z \o "1-3" \u \h</w:instrText>
          </w:r>
          <w:r>
            <w:rPr>
              <w:rStyle w:val="21"/>
              <w:rFonts w:hint="default" w:ascii="Times New Roman" w:hAnsi="Times New Roman" w:eastAsia="宋体" w:cs="Times New Roman"/>
              <w:vanish w:val="0"/>
              <w:sz w:val="28"/>
              <w:szCs w:val="28"/>
            </w:rPr>
            <w:fldChar w:fldCharType="separate"/>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"_Toc14945"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lang w:eastAsia="zh-CN"/>
            </w:rPr>
            <w:t>一、</w:t>
          </w:r>
          <w:r>
            <w:rPr>
              <w:rFonts w:hint="default" w:ascii="Times New Roman" w:hAnsi="Times New Roman" w:eastAsia="宋体" w:cs="Times New Roman"/>
              <w:b/>
              <w:bCs/>
              <w:sz w:val="28"/>
              <w:szCs w:val="28"/>
              <w:lang w:val="en-US" w:eastAsia="zh-CN"/>
            </w:rPr>
            <w:t xml:space="preserve"> 2021届</w:t>
          </w:r>
          <w:r>
            <w:rPr>
              <w:rStyle w:val="21"/>
              <w:rFonts w:hint="default" w:ascii="Times New Roman" w:hAnsi="Times New Roman" w:eastAsia="宋体" w:cs="Times New Roman"/>
              <w:b/>
              <w:bCs/>
              <w:vanish w:val="0"/>
              <w:sz w:val="28"/>
              <w:szCs w:val="28"/>
            </w:rPr>
            <w:t>毕业生</w:t>
          </w:r>
          <w:r>
            <w:rPr>
              <w:rStyle w:val="21"/>
              <w:rFonts w:hint="default" w:ascii="Times New Roman" w:hAnsi="Times New Roman" w:eastAsia="宋体" w:cs="Times New Roman"/>
              <w:b/>
              <w:bCs/>
              <w:vanish w:val="0"/>
              <w:sz w:val="28"/>
              <w:szCs w:val="28"/>
              <w:lang w:eastAsia="zh-CN"/>
            </w:rPr>
            <w:t>基本情况</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5</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1、性别构成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5</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2</w:t>
          </w:r>
          <w:r>
            <w:rPr>
              <w:rStyle w:val="21"/>
              <w:rFonts w:hint="default" w:ascii="Times New Roman" w:hAnsi="Times New Roman" w:eastAsia="宋体" w:cs="Times New Roman"/>
              <w:vanish w:val="0"/>
              <w:sz w:val="28"/>
              <w:szCs w:val="28"/>
              <w:lang w:val="en-US" w:eastAsia="zh-CN"/>
            </w:rPr>
            <w:t>、城乡生源分布</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5</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3</w:t>
          </w:r>
          <w:r>
            <w:rPr>
              <w:rStyle w:val="21"/>
              <w:rFonts w:hint="default" w:ascii="Times New Roman" w:hAnsi="Times New Roman" w:eastAsia="宋体" w:cs="Times New Roman"/>
              <w:vanish w:val="0"/>
              <w:sz w:val="28"/>
              <w:szCs w:val="28"/>
              <w:lang w:val="en-US" w:eastAsia="zh-CN"/>
            </w:rPr>
            <w:t>、生源地结构</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6</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4</w:t>
          </w:r>
          <w:r>
            <w:rPr>
              <w:rStyle w:val="21"/>
              <w:rFonts w:hint="default" w:ascii="Times New Roman" w:hAnsi="Times New Roman" w:eastAsia="宋体" w:cs="Times New Roman"/>
              <w:vanish w:val="0"/>
              <w:sz w:val="28"/>
              <w:szCs w:val="28"/>
              <w:lang w:val="en-US" w:eastAsia="zh-CN"/>
            </w:rPr>
            <w:t>、各专业人数</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6</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"_Toc15917" \h </w:instrText>
          </w:r>
          <w:r>
            <w:rPr>
              <w:rFonts w:hint="default" w:ascii="Times New Roman" w:hAnsi="Times New Roman" w:eastAsia="宋体" w:cs="Times New Roman"/>
              <w:b/>
              <w:bCs/>
              <w:sz w:val="28"/>
              <w:szCs w:val="28"/>
            </w:rPr>
            <w:fldChar w:fldCharType="separate"/>
          </w:r>
          <w:r>
            <w:rPr>
              <w:rStyle w:val="21"/>
              <w:rFonts w:hint="default" w:ascii="Times New Roman" w:hAnsi="Times New Roman" w:eastAsia="宋体" w:cs="Times New Roman"/>
              <w:b/>
              <w:bCs/>
              <w:vanish w:val="0"/>
              <w:sz w:val="28"/>
              <w:szCs w:val="28"/>
              <w:lang w:eastAsia="zh-CN"/>
            </w:rPr>
            <w:t>二、</w:t>
          </w:r>
          <w:r>
            <w:rPr>
              <w:rStyle w:val="21"/>
              <w:rFonts w:hint="default" w:ascii="Times New Roman" w:hAnsi="Times New Roman" w:eastAsia="宋体" w:cs="Times New Roman"/>
              <w:b/>
              <w:bCs/>
              <w:vanish w:val="0"/>
              <w:sz w:val="28"/>
              <w:szCs w:val="28"/>
              <w:lang w:val="en-US" w:eastAsia="zh-CN"/>
            </w:rPr>
            <w:t>2021届毕业生就业情况</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7</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"_Toc29617"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1、</w:t>
          </w:r>
          <w:r>
            <w:rPr>
              <w:rStyle w:val="21"/>
              <w:rFonts w:hint="default" w:ascii="Times New Roman" w:hAnsi="Times New Roman" w:eastAsia="宋体" w:cs="Times New Roman"/>
              <w:vanish w:val="0"/>
              <w:sz w:val="28"/>
              <w:szCs w:val="28"/>
              <w:lang w:eastAsia="zh-CN"/>
            </w:rPr>
            <w:t>毕业生各专业就业率</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7</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"_Toc29617"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2、毕业生就业形式统计</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7</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"_Toc29617"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3、毕业生就业单位性质分析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8</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4</w:t>
          </w:r>
          <w:r>
            <w:rPr>
              <w:rStyle w:val="21"/>
              <w:rFonts w:hint="default" w:ascii="Times New Roman" w:hAnsi="Times New Roman" w:eastAsia="宋体" w:cs="Times New Roman"/>
              <w:vanish w:val="0"/>
              <w:sz w:val="28"/>
              <w:szCs w:val="28"/>
              <w:lang w:val="en-US" w:eastAsia="zh-CN"/>
            </w:rPr>
            <w:t>、毕业生就业单位行业分析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9</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5</w:t>
          </w:r>
          <w:r>
            <w:rPr>
              <w:rStyle w:val="21"/>
              <w:rFonts w:hint="default" w:ascii="Times New Roman" w:hAnsi="Times New Roman" w:eastAsia="宋体" w:cs="Times New Roman"/>
              <w:vanish w:val="0"/>
              <w:sz w:val="28"/>
              <w:szCs w:val="28"/>
              <w:lang w:val="en-US" w:eastAsia="zh-CN"/>
            </w:rPr>
            <w:t>、毕业生地域流向</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10</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6、毕业生继续深造情况</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10</w:t>
          </w:r>
        </w:p>
        <w:p>
          <w:pPr>
            <w:pStyle w:val="10"/>
            <w:tabs>
              <w:tab w:val="right" w:leader="dot" w:pos="8306"/>
            </w:tabs>
            <w:spacing w:line="360" w:lineRule="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"_Toc4262" \h </w:instrText>
          </w:r>
          <w:r>
            <w:rPr>
              <w:rFonts w:hint="default" w:ascii="Times New Roman" w:hAnsi="Times New Roman" w:eastAsia="宋体" w:cs="Times New Roman"/>
              <w:b/>
              <w:bCs/>
              <w:sz w:val="28"/>
              <w:szCs w:val="28"/>
            </w:rPr>
            <w:fldChar w:fldCharType="separate"/>
          </w:r>
          <w:r>
            <w:rPr>
              <w:rStyle w:val="21"/>
              <w:rFonts w:hint="default" w:ascii="Times New Roman" w:hAnsi="Times New Roman" w:eastAsia="宋体" w:cs="Times New Roman"/>
              <w:b/>
              <w:bCs/>
              <w:vanish w:val="0"/>
              <w:sz w:val="28"/>
              <w:szCs w:val="28"/>
              <w:lang w:eastAsia="zh-CN"/>
            </w:rPr>
            <w:t>三</w:t>
          </w:r>
          <w:r>
            <w:rPr>
              <w:rStyle w:val="21"/>
              <w:rFonts w:hint="default" w:ascii="Times New Roman" w:hAnsi="Times New Roman" w:eastAsia="宋体" w:cs="Times New Roman"/>
              <w:b/>
              <w:bCs/>
              <w:vanish w:val="0"/>
              <w:sz w:val="28"/>
              <w:szCs w:val="28"/>
            </w:rPr>
            <w:t>、</w:t>
          </w:r>
          <w:r>
            <w:rPr>
              <w:rStyle w:val="21"/>
              <w:rFonts w:hint="default" w:ascii="Times New Roman" w:hAnsi="Times New Roman" w:eastAsia="宋体" w:cs="Times New Roman"/>
              <w:b/>
              <w:bCs/>
              <w:vanish w:val="0"/>
              <w:sz w:val="28"/>
              <w:szCs w:val="28"/>
              <w:lang w:eastAsia="zh-CN"/>
            </w:rPr>
            <w:t>毕业生就业趋势变化</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11</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"_Toc24695"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1、</w:t>
          </w:r>
          <w:r>
            <w:rPr>
              <w:rStyle w:val="21"/>
              <w:rFonts w:hint="default" w:ascii="Times New Roman" w:hAnsi="Times New Roman" w:eastAsia="宋体" w:cs="Times New Roman"/>
              <w:vanish w:val="0"/>
              <w:sz w:val="28"/>
              <w:szCs w:val="28"/>
              <w:lang w:val="en-US" w:eastAsia="zh-CN"/>
            </w:rPr>
            <w:t>202</w:t>
          </w:r>
          <w:r>
            <w:rPr>
              <w:rStyle w:val="21"/>
              <w:rFonts w:hint="eastAsia" w:ascii="Times New Roman" w:hAnsi="Times New Roman" w:eastAsia="宋体" w:cs="Times New Roman"/>
              <w:vanish w:val="0"/>
              <w:sz w:val="28"/>
              <w:szCs w:val="28"/>
              <w:lang w:val="en-US" w:eastAsia="zh-CN"/>
            </w:rPr>
            <w:t>1</w:t>
          </w:r>
          <w:r>
            <w:rPr>
              <w:rStyle w:val="21"/>
              <w:rFonts w:hint="default" w:ascii="Times New Roman" w:hAnsi="Times New Roman" w:eastAsia="宋体" w:cs="Times New Roman"/>
              <w:vanish w:val="0"/>
              <w:sz w:val="28"/>
              <w:szCs w:val="28"/>
              <w:lang w:val="en-US" w:eastAsia="zh-CN"/>
            </w:rPr>
            <w:t>届与202</w:t>
          </w:r>
          <w:r>
            <w:rPr>
              <w:rStyle w:val="21"/>
              <w:rFonts w:hint="eastAsia" w:ascii="Times New Roman" w:hAnsi="Times New Roman" w:eastAsia="宋体" w:cs="Times New Roman"/>
              <w:vanish w:val="0"/>
              <w:sz w:val="28"/>
              <w:szCs w:val="28"/>
              <w:lang w:val="en-US" w:eastAsia="zh-CN"/>
            </w:rPr>
            <w:t>0</w:t>
          </w:r>
          <w:r>
            <w:rPr>
              <w:rStyle w:val="21"/>
              <w:rFonts w:hint="default" w:ascii="Times New Roman" w:hAnsi="Times New Roman" w:eastAsia="宋体" w:cs="Times New Roman"/>
              <w:vanish w:val="0"/>
              <w:sz w:val="28"/>
              <w:szCs w:val="28"/>
              <w:lang w:val="en-US" w:eastAsia="zh-CN"/>
            </w:rPr>
            <w:t>届毕业生各专业就业率对比分析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11</w:t>
          </w:r>
        </w:p>
        <w:p>
          <w:pPr>
            <w:pStyle w:val="7"/>
            <w:tabs>
              <w:tab w:val="right" w:leader="dot" w:pos="830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"_Toc28163"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sz w:val="28"/>
              <w:szCs w:val="28"/>
            </w:rPr>
            <w:t>、</w:t>
          </w:r>
          <w:r>
            <w:rPr>
              <w:rStyle w:val="21"/>
              <w:rFonts w:hint="default" w:ascii="Times New Roman" w:hAnsi="Times New Roman" w:eastAsia="宋体" w:cs="Times New Roman"/>
              <w:sz w:val="28"/>
              <w:szCs w:val="28"/>
              <w:lang w:val="en-US" w:eastAsia="zh-CN"/>
            </w:rPr>
            <w:t>202</w:t>
          </w:r>
          <w:r>
            <w:rPr>
              <w:rStyle w:val="21"/>
              <w:rFonts w:hint="eastAsia" w:ascii="Times New Roman" w:hAnsi="Times New Roman" w:eastAsia="宋体" w:cs="Times New Roman"/>
              <w:sz w:val="28"/>
              <w:szCs w:val="28"/>
              <w:lang w:val="en-US" w:eastAsia="zh-CN"/>
            </w:rPr>
            <w:t>1</w:t>
          </w:r>
          <w:r>
            <w:rPr>
              <w:rStyle w:val="21"/>
              <w:rFonts w:hint="default" w:ascii="Times New Roman" w:hAnsi="Times New Roman" w:eastAsia="宋体" w:cs="Times New Roman"/>
              <w:sz w:val="28"/>
              <w:szCs w:val="28"/>
              <w:lang w:val="en-US" w:eastAsia="zh-CN"/>
            </w:rPr>
            <w:t>届与202</w:t>
          </w:r>
          <w:r>
            <w:rPr>
              <w:rStyle w:val="21"/>
              <w:rFonts w:hint="eastAsia" w:ascii="Times New Roman" w:hAnsi="Times New Roman" w:eastAsia="宋体" w:cs="Times New Roman"/>
              <w:sz w:val="28"/>
              <w:szCs w:val="28"/>
              <w:lang w:val="en-US" w:eastAsia="zh-CN"/>
            </w:rPr>
            <w:t>0</w:t>
          </w:r>
          <w:r>
            <w:rPr>
              <w:rStyle w:val="21"/>
              <w:rFonts w:hint="default" w:ascii="Times New Roman" w:hAnsi="Times New Roman" w:eastAsia="宋体" w:cs="Times New Roman"/>
              <w:sz w:val="28"/>
              <w:szCs w:val="28"/>
              <w:lang w:val="en-US" w:eastAsia="zh-CN"/>
            </w:rPr>
            <w:t>届毕业生就业单位性质对比分析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12</w:t>
          </w:r>
        </w:p>
        <w:p>
          <w:pPr>
            <w:pStyle w:val="7"/>
            <w:tabs>
              <w:tab w:val="right" w:leader="dot" w:pos="830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"_Toc28163"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sz w:val="28"/>
              <w:szCs w:val="28"/>
            </w:rPr>
            <w:t>、</w:t>
          </w:r>
          <w:r>
            <w:rPr>
              <w:rStyle w:val="21"/>
              <w:rFonts w:hint="default" w:ascii="Times New Roman" w:hAnsi="Times New Roman" w:eastAsia="宋体" w:cs="Times New Roman"/>
              <w:sz w:val="28"/>
              <w:szCs w:val="28"/>
              <w:lang w:val="en-US" w:eastAsia="zh-CN"/>
            </w:rPr>
            <w:t>202</w:t>
          </w:r>
          <w:r>
            <w:rPr>
              <w:rStyle w:val="21"/>
              <w:rFonts w:hint="eastAsia" w:ascii="Times New Roman" w:hAnsi="Times New Roman" w:eastAsia="宋体" w:cs="Times New Roman"/>
              <w:sz w:val="28"/>
              <w:szCs w:val="28"/>
              <w:lang w:val="en-US" w:eastAsia="zh-CN"/>
            </w:rPr>
            <w:t>1</w:t>
          </w:r>
          <w:r>
            <w:rPr>
              <w:rStyle w:val="21"/>
              <w:rFonts w:hint="default" w:ascii="Times New Roman" w:hAnsi="Times New Roman" w:eastAsia="宋体" w:cs="Times New Roman"/>
              <w:sz w:val="28"/>
              <w:szCs w:val="28"/>
              <w:lang w:val="en-US" w:eastAsia="zh-CN"/>
            </w:rPr>
            <w:t>届与202</w:t>
          </w:r>
          <w:r>
            <w:rPr>
              <w:rStyle w:val="21"/>
              <w:rFonts w:hint="eastAsia" w:ascii="Times New Roman" w:hAnsi="Times New Roman" w:eastAsia="宋体" w:cs="Times New Roman"/>
              <w:sz w:val="28"/>
              <w:szCs w:val="28"/>
              <w:lang w:val="en-US" w:eastAsia="zh-CN"/>
            </w:rPr>
            <w:t>0</w:t>
          </w:r>
          <w:r>
            <w:rPr>
              <w:rStyle w:val="21"/>
              <w:rFonts w:hint="default" w:ascii="Times New Roman" w:hAnsi="Times New Roman" w:eastAsia="宋体" w:cs="Times New Roman"/>
              <w:sz w:val="28"/>
              <w:szCs w:val="28"/>
              <w:lang w:val="en-US" w:eastAsia="zh-CN"/>
            </w:rPr>
            <w:t>届毕业生就业单位行业对比分析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13</w:t>
          </w:r>
        </w:p>
        <w:p>
          <w:pPr>
            <w:pStyle w:val="7"/>
            <w:tabs>
              <w:tab w:val="right" w:leader="dot" w:pos="830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"_Toc28163"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sz w:val="28"/>
              <w:szCs w:val="28"/>
            </w:rPr>
            <w:t>、</w:t>
          </w:r>
          <w:r>
            <w:rPr>
              <w:rStyle w:val="21"/>
              <w:rFonts w:hint="default" w:ascii="Times New Roman" w:hAnsi="Times New Roman" w:eastAsia="宋体" w:cs="Times New Roman"/>
              <w:sz w:val="28"/>
              <w:szCs w:val="28"/>
              <w:lang w:val="en-US" w:eastAsia="zh-CN"/>
            </w:rPr>
            <w:t>202</w:t>
          </w:r>
          <w:r>
            <w:rPr>
              <w:rStyle w:val="21"/>
              <w:rFonts w:hint="eastAsia" w:ascii="Times New Roman" w:hAnsi="Times New Roman" w:eastAsia="宋体" w:cs="Times New Roman"/>
              <w:sz w:val="28"/>
              <w:szCs w:val="28"/>
              <w:lang w:val="en-US" w:eastAsia="zh-CN"/>
            </w:rPr>
            <w:t>1</w:t>
          </w:r>
          <w:r>
            <w:rPr>
              <w:rStyle w:val="21"/>
              <w:rFonts w:hint="default" w:ascii="Times New Roman" w:hAnsi="Times New Roman" w:eastAsia="宋体" w:cs="Times New Roman"/>
              <w:sz w:val="28"/>
              <w:szCs w:val="28"/>
              <w:lang w:val="en-US" w:eastAsia="zh-CN"/>
            </w:rPr>
            <w:t>届与202</w:t>
          </w:r>
          <w:r>
            <w:rPr>
              <w:rStyle w:val="21"/>
              <w:rFonts w:hint="eastAsia" w:ascii="Times New Roman" w:hAnsi="Times New Roman" w:eastAsia="宋体" w:cs="Times New Roman"/>
              <w:sz w:val="28"/>
              <w:szCs w:val="28"/>
              <w:lang w:val="en-US" w:eastAsia="zh-CN"/>
            </w:rPr>
            <w:t>0</w:t>
          </w:r>
          <w:r>
            <w:rPr>
              <w:rStyle w:val="21"/>
              <w:rFonts w:hint="default" w:ascii="Times New Roman" w:hAnsi="Times New Roman" w:eastAsia="宋体" w:cs="Times New Roman"/>
              <w:sz w:val="28"/>
              <w:szCs w:val="28"/>
              <w:lang w:val="en-US" w:eastAsia="zh-CN"/>
            </w:rPr>
            <w:t>届毕业生就业区域流向趋势变化分析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13</w:t>
          </w:r>
        </w:p>
        <w:p>
          <w:pPr>
            <w:pStyle w:val="10"/>
            <w:tabs>
              <w:tab w:val="right" w:leader="dot" w:pos="8306"/>
            </w:tabs>
            <w:spacing w:line="360" w:lineRule="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"_Toc4262" \h </w:instrText>
          </w:r>
          <w:r>
            <w:rPr>
              <w:rFonts w:hint="default" w:ascii="Times New Roman" w:hAnsi="Times New Roman" w:eastAsia="宋体" w:cs="Times New Roman"/>
              <w:b/>
              <w:bCs/>
              <w:sz w:val="28"/>
              <w:szCs w:val="28"/>
            </w:rPr>
            <w:fldChar w:fldCharType="separate"/>
          </w:r>
          <w:r>
            <w:rPr>
              <w:rFonts w:hint="eastAsia" w:ascii="Times New Roman" w:hAnsi="Times New Roman" w:eastAsia="宋体" w:cs="Times New Roman"/>
              <w:b/>
              <w:bCs/>
              <w:sz w:val="28"/>
              <w:szCs w:val="28"/>
              <w:lang w:eastAsia="zh-CN"/>
            </w:rPr>
            <w:t>四</w:t>
          </w:r>
          <w:r>
            <w:rPr>
              <w:rStyle w:val="21"/>
              <w:rFonts w:hint="default" w:ascii="Times New Roman" w:hAnsi="Times New Roman" w:eastAsia="宋体" w:cs="Times New Roman"/>
              <w:b/>
              <w:bCs/>
              <w:vanish w:val="0"/>
              <w:sz w:val="28"/>
              <w:szCs w:val="28"/>
            </w:rPr>
            <w:t>、</w:t>
          </w:r>
          <w:r>
            <w:rPr>
              <w:rFonts w:hint="default" w:ascii="Times New Roman" w:hAnsi="Times New Roman" w:eastAsia="宋体" w:cs="Times New Roman"/>
              <w:b/>
              <w:bCs/>
              <w:sz w:val="28"/>
              <w:szCs w:val="28"/>
              <w:lang w:val="en-US" w:eastAsia="zh-CN"/>
            </w:rPr>
            <w:t>2021年</w:t>
          </w:r>
          <w:r>
            <w:rPr>
              <w:rFonts w:hint="default" w:ascii="Times New Roman" w:hAnsi="Times New Roman" w:eastAsia="宋体" w:cs="Times New Roman"/>
              <w:b/>
              <w:bCs/>
              <w:sz w:val="28"/>
              <w:szCs w:val="28"/>
              <w:lang w:eastAsia="zh-CN"/>
            </w:rPr>
            <w:t>就业创业工作评价</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14</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_Toc9908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（一）用人单位评价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14</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_Toc19412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1、用人单位对我院毕业生综合素质的评价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15</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_Toc19002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2、用人单位对我院就业创业工作的评价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15</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_Toc11831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（二）毕业生评价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16</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_Toc15680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1、毕业生对用人单位的评价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16</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sz w:val="28"/>
              <w:szCs w:val="28"/>
              <w:lang w:val="en-US"/>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_Toc24513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2、毕业生对学院就业创业工作的评价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16</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"_Toc6666"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lang w:eastAsia="zh-CN"/>
            </w:rPr>
            <w:t>五、毕业生就业创业工作举措</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17</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"_Toc25646"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（一）建立健全就业创业工作机制</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17</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（二）构建完善的职业发展与就业创业教育体系</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18</w:t>
          </w:r>
        </w:p>
        <w:p>
          <w:pPr>
            <w:pStyle w:val="12"/>
            <w:tabs>
              <w:tab w:val="right" w:leader="dot" w:pos="8306"/>
              <w:tab w:val="clear" w:pos="8296"/>
            </w:tabs>
            <w:spacing w:line="360" w:lineRule="auto"/>
            <w:ind w:left="0" w:leftChars="0" w:firstLine="0" w:firstLineChars="0"/>
            <w:rPr>
              <w:rStyle w:val="21"/>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end"/>
          </w:r>
          <w:bookmarkStart w:id="2" w:name="_Toc2224_WPSOffice_Level1"/>
          <w:bookmarkEnd w:id="2"/>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default" w:ascii="Times New Roman" w:hAnsi="Times New Roman" w:eastAsia="宋体" w:cs="Times New Roman"/>
              <w:vanish w:val="0"/>
              <w:sz w:val="28"/>
              <w:szCs w:val="28"/>
              <w:lang w:eastAsia="zh-CN"/>
            </w:rPr>
            <w:t>三</w:t>
          </w:r>
          <w:r>
            <w:rPr>
              <w:rStyle w:val="21"/>
              <w:rFonts w:hint="default" w:ascii="Times New Roman" w:hAnsi="Times New Roman" w:eastAsia="宋体" w:cs="Times New Roman"/>
              <w:vanish w:val="0"/>
              <w:sz w:val="28"/>
              <w:szCs w:val="28"/>
            </w:rPr>
            <w:t>）</w:t>
          </w:r>
          <w:r>
            <w:rPr>
              <w:rStyle w:val="21"/>
              <w:rFonts w:hint="default" w:ascii="Times New Roman" w:hAnsi="Times New Roman" w:eastAsia="宋体" w:cs="Times New Roman"/>
              <w:vanish w:val="0"/>
              <w:sz w:val="28"/>
              <w:szCs w:val="28"/>
              <w:lang w:eastAsia="zh-CN"/>
            </w:rPr>
            <w:t>创新人才培养模式</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19</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四</w:t>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积极开拓就业市场</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19</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五</w:t>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搭平台及时发布就业信息</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20</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六</w:t>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优化就业创业指导和服务工作</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20</w:t>
          </w:r>
        </w:p>
        <w:p>
          <w:pPr>
            <w:pStyle w:val="12"/>
            <w:tabs>
              <w:tab w:val="right" w:leader="dot" w:pos="8306"/>
              <w:tab w:val="clear" w:pos="8296"/>
            </w:tabs>
            <w:spacing w:line="360" w:lineRule="auto"/>
            <w:ind w:left="0" w:leftChars="0" w:firstLine="0" w:firstLineChars="0"/>
            <w:rPr>
              <w:rStyle w:val="21"/>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七</w:t>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实施学生就业状况动态监测</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21</w:t>
          </w: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tabs>
              <w:tab w:val="left" w:pos="2572"/>
            </w:tabs>
            <w:bidi w:val="0"/>
            <w:jc w:val="left"/>
          </w:pPr>
        </w:p>
      </w:sdtContent>
    </w:sdt>
    <w:p>
      <w:pPr>
        <w:ind w:left="0" w:leftChars="0" w:right="0" w:rightChars="0" w:firstLine="0" w:firstLineChars="0"/>
        <w:jc w:val="center"/>
        <w:rPr>
          <w:rFonts w:hint="eastAsia" w:ascii="宋体" w:hAnsi="宋体" w:eastAsia="宋体" w:cs="宋体"/>
          <w:b/>
          <w:bCs/>
          <w:color w:val="000000"/>
          <w:kern w:val="0"/>
          <w:sz w:val="28"/>
          <w:szCs w:val="28"/>
          <w:highlight w:val="white"/>
        </w:rPr>
      </w:pPr>
      <w:r>
        <w:rPr>
          <w:rFonts w:hint="eastAsia" w:ascii="宋体" w:hAnsi="宋体" w:eastAsia="宋体" w:cs="宋体"/>
          <w:b/>
          <w:bCs/>
          <w:color w:val="000000"/>
          <w:kern w:val="0"/>
          <w:sz w:val="32"/>
          <w:szCs w:val="32"/>
          <w:shd w:val="clear" w:fill="FFFFFF"/>
        </w:rPr>
        <w:t>学院简介</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吉首大学计算机、电子类专业创建于1993年。2011年7月经学校学科专业调整，组建信息科学与工程学院，现有本科、硕士在校学生1</w:t>
      </w:r>
      <w:r>
        <w:rPr>
          <w:rFonts w:hint="eastAsia"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rPr>
        <w:t>00余人。学院设有计算机科学与技术、通信工程、电子信息工程、电气工程及其自动化、数据科学与大数据技术5个本科专业。其中，计算机科学与技术为国家一流本科专业建设点（在艾瑞深校友会网的排名中位列全国第63名），通信工程专业为湖南省一流本科专业建设点，电子信息工程专业在湖南省普通高校专业综合评价中位列全省第8。学院拥有信息与通信工程一级学科硕士点、电子信息专业学位硕士点。</w:t>
      </w:r>
    </w:p>
    <w:p>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56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学院现有教职工67人，其中教授7人、副教授23人，博士和在读博士24人，具有硕士及以上学位的教师超过88%。学院拥有湖南省121人才工程1人、湖南省青年骨干教师6人、湖南省教学能手2人、湖南省“我最喜爱的青年教师”1人、湖南省“高校辅导员年度人物”1人。近年来，学院教师获得省级教学成果一、三等奖各1项；获批省级一流本科课程3门；出版教材9本；主持省级教学改革研究项目20余项；在教学竞赛中屡获佳绩，共获得省级一等奖2项、二等奖6项、三等奖5项。</w:t>
      </w:r>
    </w:p>
    <w:p>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56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近年来，学院教师主持国家自然科学基金项目25项、省自然科学基金等省级科研项目70余项，科研总经费达1300余万元，在IEEE Transactions系列期刊、电子学报和通信学报等权威期刊上发表高水平论文200余篇。</w:t>
      </w:r>
    </w:p>
    <w:p>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56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学院建有计算机与网络工程、电子与通信技术、电气工程及其自动化三大实验室，拥有各类先进的仪器设备，总值达2600多万元。学院与中国联通、国家电网怀化供电公司、</w:t>
      </w:r>
      <w:r>
        <w:rPr>
          <w:rFonts w:hint="eastAsia" w:ascii="Times New Roman" w:hAnsi="Times New Roman" w:eastAsia="宋体" w:cs="Times New Roman"/>
          <w:sz w:val="28"/>
          <w:szCs w:val="28"/>
          <w:lang w:eastAsia="zh-CN"/>
        </w:rPr>
        <w:t>北京千锋互联科技</w:t>
      </w:r>
      <w:r>
        <w:rPr>
          <w:rFonts w:hint="default" w:ascii="Times New Roman" w:hAnsi="Times New Roman" w:eastAsia="宋体" w:cs="Times New Roman"/>
          <w:sz w:val="28"/>
          <w:szCs w:val="28"/>
        </w:rPr>
        <w:t>有限公司等多个校外实习实训基地联合开展专业建设与人才培养工作。学院“电子信息类专业校企合作创新创业教育基地”为省级创新创业教育基地。</w:t>
      </w: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pStyle w:val="3"/>
        <w:numPr>
          <w:ilvl w:val="0"/>
          <w:numId w:val="0"/>
        </w:numPr>
        <w:spacing w:before="0" w:after="0" w:line="360" w:lineRule="auto"/>
        <w:ind w:leftChars="0" w:right="0" w:rightChars="0"/>
        <w:rPr>
          <w:rFonts w:hint="default" w:ascii="Times New Roman" w:hAnsi="Times New Roman" w:eastAsia="宋体" w:cs="Times New Roman"/>
          <w:sz w:val="28"/>
          <w:szCs w:val="28"/>
          <w:lang w:eastAsia="zh-CN"/>
        </w:rPr>
        <w:sectPr>
          <w:footerReference r:id="rId3" w:type="default"/>
          <w:pgSz w:w="11906" w:h="16838"/>
          <w:pgMar w:top="1440" w:right="1800" w:bottom="1440" w:left="1800" w:header="0" w:footer="992" w:gutter="0"/>
          <w:pgNumType w:fmt="decimal" w:start="1"/>
          <w:cols w:space="720" w:num="1"/>
          <w:formProt w:val="0"/>
          <w:docGrid w:type="lines" w:linePitch="312" w:charSpace="0"/>
        </w:sectPr>
      </w:pPr>
      <w:bookmarkStart w:id="3" w:name="_Toc29945"/>
      <w:bookmarkStart w:id="4" w:name="_Toc10724"/>
      <w:bookmarkStart w:id="5" w:name="_Toc32614"/>
      <w:bookmarkStart w:id="6" w:name="_Toc15917"/>
      <w:bookmarkStart w:id="7" w:name="_Toc29026"/>
    </w:p>
    <w:p>
      <w:pPr>
        <w:pStyle w:val="3"/>
        <w:numPr>
          <w:ilvl w:val="0"/>
          <w:numId w:val="0"/>
        </w:numPr>
        <w:spacing w:before="0" w:after="0" w:line="360" w:lineRule="auto"/>
        <w:ind w:leftChars="0" w:right="0" w:right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一、</w:t>
      </w:r>
      <w:r>
        <w:rPr>
          <w:rFonts w:hint="default" w:ascii="Times New Roman" w:hAnsi="Times New Roman" w:eastAsia="宋体" w:cs="Times New Roman"/>
          <w:sz w:val="28"/>
          <w:szCs w:val="28"/>
          <w:lang w:val="en-US" w:eastAsia="zh-CN"/>
        </w:rPr>
        <w:t>202</w:t>
      </w:r>
      <w:r>
        <w:rPr>
          <w:rFonts w:hint="eastAsia"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val="en-US" w:eastAsia="zh-CN"/>
        </w:rPr>
        <w:t>届</w:t>
      </w:r>
      <w:r>
        <w:rPr>
          <w:rFonts w:hint="default" w:ascii="Times New Roman" w:hAnsi="Times New Roman" w:eastAsia="宋体" w:cs="Times New Roman"/>
          <w:sz w:val="28"/>
          <w:szCs w:val="28"/>
        </w:rPr>
        <w:t>毕业生</w:t>
      </w:r>
      <w:bookmarkEnd w:id="3"/>
      <w:bookmarkEnd w:id="4"/>
      <w:bookmarkEnd w:id="5"/>
      <w:bookmarkEnd w:id="6"/>
      <w:bookmarkEnd w:id="7"/>
      <w:r>
        <w:rPr>
          <w:rFonts w:hint="default" w:ascii="Times New Roman" w:hAnsi="Times New Roman" w:eastAsia="宋体" w:cs="Times New Roman"/>
          <w:sz w:val="28"/>
          <w:szCs w:val="28"/>
          <w:lang w:eastAsia="zh-CN"/>
        </w:rPr>
        <w:t>基本情况</w:t>
      </w:r>
    </w:p>
    <w:p>
      <w:pPr>
        <w:spacing w:line="520" w:lineRule="exact"/>
        <w:ind w:left="0" w:right="0" w:firstLine="540"/>
        <w:rPr>
          <w:rFonts w:hint="default" w:ascii="Times New Roman" w:hAnsi="Times New Roman" w:eastAsia="宋体" w:cs="Times New Roman"/>
        </w:rPr>
      </w:pPr>
      <w:r>
        <w:rPr>
          <w:rFonts w:hint="default" w:ascii="Times New Roman" w:hAnsi="Times New Roman" w:eastAsia="宋体" w:cs="Times New Roman"/>
          <w:sz w:val="28"/>
          <w:szCs w:val="28"/>
        </w:rPr>
        <w:t>我院20</w:t>
      </w:r>
      <w:r>
        <w:rPr>
          <w:rFonts w:hint="default"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rPr>
        <w:t>届毕业生共有</w:t>
      </w:r>
      <w:r>
        <w:rPr>
          <w:rFonts w:hint="default"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lang w:val="en-US" w:eastAsia="zh-CN"/>
        </w:rPr>
        <w:t>60</w:t>
      </w:r>
      <w:r>
        <w:rPr>
          <w:rFonts w:hint="default" w:ascii="Times New Roman" w:hAnsi="Times New Roman" w:eastAsia="宋体" w:cs="Times New Roman"/>
          <w:sz w:val="28"/>
          <w:szCs w:val="28"/>
        </w:rPr>
        <w:t>人，涵盖通信工程、电子信息工程、计算机科学与技术、电气工程及其自动化</w:t>
      </w:r>
      <w:r>
        <w:rPr>
          <w:rFonts w:hint="eastAsia"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个</w:t>
      </w:r>
      <w:r>
        <w:rPr>
          <w:rFonts w:hint="eastAsia" w:ascii="Times New Roman" w:hAnsi="Times New Roman" w:eastAsia="宋体" w:cs="Times New Roman"/>
          <w:sz w:val="28"/>
          <w:szCs w:val="28"/>
          <w:lang w:eastAsia="zh-CN"/>
        </w:rPr>
        <w:t>本科</w:t>
      </w:r>
      <w:r>
        <w:rPr>
          <w:rFonts w:hint="default" w:ascii="Times New Roman" w:hAnsi="Times New Roman" w:eastAsia="宋体" w:cs="Times New Roman"/>
          <w:sz w:val="28"/>
          <w:szCs w:val="28"/>
        </w:rPr>
        <w:t>专业。</w:t>
      </w:r>
    </w:p>
    <w:p>
      <w:pPr>
        <w:pStyle w:val="4"/>
        <w:spacing w:before="0" w:after="0" w:line="360" w:lineRule="auto"/>
        <w:rPr>
          <w:rFonts w:hint="default" w:ascii="Times New Roman" w:hAnsi="Times New Roman" w:eastAsia="宋体" w:cs="Times New Roman"/>
          <w:szCs w:val="28"/>
        </w:rPr>
      </w:pPr>
      <w:bookmarkStart w:id="8" w:name="_Toc20348"/>
      <w:bookmarkStart w:id="9" w:name="_Toc27972"/>
      <w:bookmarkStart w:id="10" w:name="_Toc3399"/>
      <w:bookmarkStart w:id="11" w:name="_Toc7710"/>
      <w:bookmarkStart w:id="12" w:name="_Toc20159"/>
      <w:r>
        <w:rPr>
          <w:rFonts w:hint="default" w:ascii="Times New Roman" w:hAnsi="Times New Roman" w:eastAsia="宋体" w:cs="Times New Roman"/>
          <w:szCs w:val="28"/>
        </w:rPr>
        <w:t>1、性别构成</w:t>
      </w:r>
      <w:bookmarkEnd w:id="8"/>
      <w:bookmarkEnd w:id="9"/>
      <w:bookmarkEnd w:id="10"/>
      <w:bookmarkEnd w:id="11"/>
      <w:bookmarkEnd w:id="12"/>
    </w:p>
    <w:p>
      <w:pPr>
        <w:spacing w:line="520" w:lineRule="exact"/>
        <w:ind w:left="0" w:right="0" w:firstLine="540"/>
        <w:rPr>
          <w:rFonts w:hint="default" w:ascii="Times New Roman" w:hAnsi="Times New Roman" w:eastAsia="宋体" w:cs="Times New Roman"/>
        </w:rPr>
      </w:pPr>
      <w:r>
        <w:rPr>
          <w:rFonts w:hint="default" w:ascii="Times New Roman" w:hAnsi="Times New Roman" w:eastAsia="宋体" w:cs="Times New Roman"/>
          <w:sz w:val="28"/>
          <w:szCs w:val="28"/>
        </w:rPr>
        <w:t>男生</w:t>
      </w:r>
      <w:r>
        <w:rPr>
          <w:rFonts w:hint="eastAsia" w:ascii="Times New Roman" w:hAnsi="Times New Roman" w:eastAsia="宋体" w:cs="Times New Roman"/>
          <w:sz w:val="28"/>
          <w:szCs w:val="28"/>
          <w:lang w:val="en-US" w:eastAsia="zh-CN"/>
        </w:rPr>
        <w:t>261</w:t>
      </w:r>
      <w:r>
        <w:rPr>
          <w:rFonts w:hint="default" w:ascii="Times New Roman" w:hAnsi="Times New Roman" w:eastAsia="宋体" w:cs="Times New Roman"/>
          <w:sz w:val="28"/>
          <w:szCs w:val="28"/>
        </w:rPr>
        <w:t>人，占毕业生总人数的</w:t>
      </w:r>
      <w:r>
        <w:rPr>
          <w:rFonts w:hint="eastAsia" w:ascii="Times New Roman" w:hAnsi="Times New Roman" w:eastAsia="宋体" w:cs="Times New Roman"/>
          <w:sz w:val="28"/>
          <w:szCs w:val="28"/>
          <w:lang w:val="en-US" w:eastAsia="zh-CN"/>
        </w:rPr>
        <w:t>72.5</w:t>
      </w:r>
      <w:r>
        <w:rPr>
          <w:rFonts w:hint="default" w:ascii="Times New Roman" w:hAnsi="Times New Roman" w:eastAsia="宋体" w:cs="Times New Roman"/>
          <w:sz w:val="28"/>
          <w:szCs w:val="28"/>
        </w:rPr>
        <w:t>%；女生</w:t>
      </w:r>
      <w:r>
        <w:rPr>
          <w:rFonts w:hint="eastAsia" w:ascii="Times New Roman" w:hAnsi="Times New Roman" w:eastAsia="宋体" w:cs="Times New Roman"/>
          <w:sz w:val="28"/>
          <w:szCs w:val="28"/>
          <w:lang w:val="en-US" w:eastAsia="zh-CN"/>
        </w:rPr>
        <w:t>99</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27.5</w:t>
      </w:r>
      <w:r>
        <w:rPr>
          <w:rFonts w:hint="default" w:ascii="Times New Roman" w:hAnsi="Times New Roman" w:eastAsia="宋体" w:cs="Times New Roman"/>
          <w:sz w:val="28"/>
          <w:szCs w:val="28"/>
        </w:rPr>
        <w:t>%。男女比例为</w:t>
      </w:r>
      <w:r>
        <w:rPr>
          <w:rFonts w:hint="eastAsia" w:ascii="Times New Roman" w:hAnsi="Times New Roman" w:eastAsia="宋体" w:cs="Times New Roman"/>
          <w:sz w:val="28"/>
          <w:szCs w:val="28"/>
          <w:lang w:val="en-US" w:eastAsia="zh-CN"/>
        </w:rPr>
        <w:t>2.64</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lang w:eastAsia="zh-CN"/>
        </w:rPr>
        <w:t>（图</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pStyle w:val="4"/>
        <w:spacing w:before="0" w:after="0" w:line="360" w:lineRule="auto"/>
        <w:jc w:val="center"/>
        <w:rPr>
          <w:rFonts w:hint="default" w:ascii="Times New Roman" w:hAnsi="Times New Roman" w:eastAsia="宋体" w:cs="Times New Roman"/>
        </w:rPr>
      </w:pPr>
      <w:bookmarkStart w:id="13" w:name="_Toc21724"/>
      <w:r>
        <w:drawing>
          <wp:inline distT="0" distB="0" distL="114300" distR="114300">
            <wp:extent cx="4450080" cy="2583815"/>
            <wp:effectExtent l="4445" t="4445" r="22225" b="59690"/>
            <wp:docPr id="6" name="图表 3"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4"/>
        <w:spacing w:before="0" w:after="0" w:line="360" w:lineRule="auto"/>
        <w:jc w:val="both"/>
        <w:rPr>
          <w:rFonts w:hint="default" w:ascii="Times New Roman" w:hAnsi="Times New Roman" w:eastAsia="宋体" w:cs="Times New Roman"/>
          <w:b/>
          <w:color w:val="auto"/>
          <w:kern w:val="2"/>
          <w:sz w:val="28"/>
          <w:szCs w:val="28"/>
          <w:lang w:val="en-US" w:eastAsia="zh-CN" w:bidi="ar-SA"/>
        </w:rPr>
      </w:pPr>
      <w:r>
        <w:rPr>
          <w:rFonts w:hint="default" w:ascii="Times New Roman" w:hAnsi="Times New Roman" w:eastAsia="宋体" w:cs="Times New Roman"/>
          <w:b/>
          <w:color w:val="auto"/>
          <w:kern w:val="2"/>
          <w:sz w:val="28"/>
          <w:szCs w:val="28"/>
          <w:lang w:val="en-US" w:eastAsia="zh-CN" w:bidi="ar-SA"/>
        </w:rPr>
        <w:t>2、城乡生源分布</w:t>
      </w:r>
      <w:bookmarkEnd w:id="13"/>
    </w:p>
    <w:p>
      <w:pPr>
        <w:ind w:left="0" w:right="0" w:firstLine="560"/>
        <w:rPr>
          <w:rFonts w:hint="default" w:ascii="Times New Roman" w:hAnsi="Times New Roman" w:eastAsia="宋体" w:cs="Times New Roman"/>
        </w:rPr>
      </w:pPr>
      <w:r>
        <w:rPr>
          <w:rFonts w:hint="default" w:ascii="Times New Roman" w:hAnsi="Times New Roman" w:eastAsia="宋体" w:cs="Times New Roman"/>
          <w:sz w:val="28"/>
          <w:szCs w:val="28"/>
        </w:rPr>
        <w:t>城镇户口毕业生为</w:t>
      </w:r>
      <w:r>
        <w:rPr>
          <w:rFonts w:hint="eastAsia" w:ascii="Times New Roman" w:hAnsi="Times New Roman" w:eastAsia="宋体" w:cs="Times New Roman"/>
          <w:sz w:val="28"/>
          <w:szCs w:val="28"/>
          <w:lang w:val="en-US" w:eastAsia="zh-CN"/>
        </w:rPr>
        <w:t>102</w:t>
      </w:r>
      <w:r>
        <w:rPr>
          <w:rFonts w:hint="default" w:ascii="Times New Roman" w:hAnsi="Times New Roman" w:eastAsia="宋体" w:cs="Times New Roman"/>
          <w:sz w:val="28"/>
          <w:szCs w:val="28"/>
        </w:rPr>
        <w:t>人，占毕业生总人数的</w:t>
      </w:r>
      <w:r>
        <w:rPr>
          <w:rFonts w:hint="default" w:ascii="Times New Roman" w:hAnsi="Times New Roman" w:eastAsia="宋体" w:cs="Times New Roman"/>
          <w:sz w:val="28"/>
          <w:szCs w:val="28"/>
          <w:lang w:val="en-US" w:eastAsia="zh-CN"/>
        </w:rPr>
        <w:t>28.</w:t>
      </w:r>
      <w:r>
        <w:rPr>
          <w:rFonts w:hint="eastAsia" w:ascii="Times New Roman" w:hAnsi="Times New Roman" w:eastAsia="宋体" w:cs="Times New Roman"/>
          <w:sz w:val="28"/>
          <w:szCs w:val="28"/>
          <w:lang w:val="en-US" w:eastAsia="zh-CN"/>
        </w:rPr>
        <w:t>33</w:t>
      </w:r>
      <w:r>
        <w:rPr>
          <w:rFonts w:hint="default" w:ascii="Times New Roman" w:hAnsi="Times New Roman" w:eastAsia="宋体" w:cs="Times New Roman"/>
          <w:sz w:val="28"/>
          <w:szCs w:val="28"/>
        </w:rPr>
        <w:t>%；农村户口毕业生为</w:t>
      </w:r>
      <w:r>
        <w:rPr>
          <w:rFonts w:hint="eastAsia" w:ascii="Times New Roman" w:hAnsi="Times New Roman" w:eastAsia="宋体" w:cs="Times New Roman"/>
          <w:sz w:val="28"/>
          <w:szCs w:val="28"/>
          <w:lang w:val="en-US" w:eastAsia="zh-CN"/>
        </w:rPr>
        <w:t>258</w:t>
      </w:r>
      <w:r>
        <w:rPr>
          <w:rFonts w:hint="default" w:ascii="Times New Roman" w:hAnsi="Times New Roman" w:eastAsia="宋体" w:cs="Times New Roman"/>
          <w:sz w:val="28"/>
          <w:szCs w:val="28"/>
        </w:rPr>
        <w:t>人，占毕业生总人数的</w:t>
      </w:r>
      <w:r>
        <w:rPr>
          <w:rFonts w:hint="eastAsia" w:ascii="Times New Roman" w:hAnsi="Times New Roman" w:eastAsia="宋体" w:cs="Times New Roman"/>
          <w:sz w:val="28"/>
          <w:szCs w:val="28"/>
          <w:lang w:val="en-US" w:eastAsia="zh-CN"/>
        </w:rPr>
        <w:t>71.67</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（图</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bookmarkStart w:id="14" w:name="_Toc844"/>
    </w:p>
    <w:p>
      <w:pPr>
        <w:ind w:left="0" w:right="0" w:firstLine="560"/>
        <w:rPr>
          <w:rFonts w:hint="default" w:ascii="Times New Roman" w:hAnsi="Times New Roman" w:eastAsia="宋体" w:cs="Times New Roman"/>
          <w:sz w:val="28"/>
          <w:szCs w:val="28"/>
        </w:rPr>
      </w:pPr>
      <w:r>
        <w:rPr>
          <w:rFonts w:hint="default" w:ascii="Times New Roman" w:hAnsi="Times New Roman" w:eastAsia="宋体" w:cs="Times New Roman"/>
        </w:rPr>
        <w:drawing>
          <wp:inline distT="0" distB="0" distL="114300" distR="114300">
            <wp:extent cx="4505325" cy="2612390"/>
            <wp:effectExtent l="4445" t="4445" r="5080" b="50165"/>
            <wp:docPr id="1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4"/>
        <w:spacing w:before="0" w:after="0" w:line="360" w:lineRule="auto"/>
        <w:jc w:val="both"/>
        <w:rPr>
          <w:rFonts w:hint="eastAsia" w:ascii="Times New Roman" w:hAnsi="Times New Roman" w:eastAsia="宋体" w:cs="Times New Roman"/>
          <w:b/>
          <w:color w:val="auto"/>
          <w:kern w:val="2"/>
          <w:sz w:val="28"/>
          <w:szCs w:val="28"/>
          <w:lang w:val="en-US" w:eastAsia="zh-CN" w:bidi="ar-SA"/>
        </w:rPr>
      </w:pPr>
      <w:bookmarkStart w:id="15" w:name="_Toc14937"/>
      <w:bookmarkStart w:id="16" w:name="_Toc6882"/>
      <w:bookmarkStart w:id="17" w:name="_Toc3178"/>
      <w:bookmarkStart w:id="18" w:name="_Toc2497"/>
      <w:r>
        <w:rPr>
          <w:rFonts w:hint="eastAsia" w:ascii="Times New Roman" w:hAnsi="Times New Roman" w:eastAsia="宋体" w:cs="Times New Roman"/>
          <w:b/>
          <w:color w:val="auto"/>
          <w:kern w:val="2"/>
          <w:sz w:val="28"/>
          <w:szCs w:val="28"/>
          <w:lang w:val="en-US" w:eastAsia="zh-CN" w:bidi="ar-SA"/>
        </w:rPr>
        <w:t>3、生源地结构</w:t>
      </w:r>
    </w:p>
    <w:p>
      <w:pPr>
        <w:ind w:left="0" w:right="0" w:firstLine="56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根据表1可知，2021届毕业生生源结构湖南省生源人数最多，达279人，占总人数的77.5%，其余省份生源地人数如下所示。</w:t>
      </w:r>
    </w:p>
    <w:p>
      <w:pPr>
        <w:numPr>
          <w:ilvl w:val="0"/>
          <w:numId w:val="0"/>
        </w:numPr>
        <w:tabs>
          <w:tab w:val="left" w:pos="6451"/>
        </w:tabs>
        <w:ind w:leftChars="0" w:right="0" w:rightChars="0"/>
        <w:jc w:val="center"/>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表1 吉首大学信息科学与工程学院2021届毕业生生源地分布</w:t>
      </w:r>
    </w:p>
    <w:tbl>
      <w:tblPr>
        <w:tblStyle w:val="14"/>
        <w:tblW w:w="7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1"/>
        <w:gridCol w:w="1365"/>
        <w:gridCol w:w="2402"/>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DBE5F1"/>
            <w:vAlign w:val="center"/>
          </w:tcPr>
          <w:p>
            <w:pPr>
              <w:jc w:val="center"/>
            </w:pPr>
            <w:r>
              <w:rPr>
                <w:rFonts w:hint="eastAsia"/>
              </w:rPr>
              <w:t>省份</w:t>
            </w:r>
          </w:p>
        </w:tc>
        <w:tc>
          <w:tcPr>
            <w:tcW w:w="1365" w:type="dxa"/>
            <w:tcBorders>
              <w:top w:val="single" w:color="auto" w:sz="4" w:space="0"/>
              <w:left w:val="single" w:color="auto" w:sz="4" w:space="0"/>
              <w:bottom w:val="single" w:color="auto" w:sz="4" w:space="0"/>
              <w:right w:val="single" w:color="auto" w:sz="4" w:space="0"/>
            </w:tcBorders>
            <w:shd w:val="clear" w:color="auto" w:fill="DBE5F1"/>
            <w:vAlign w:val="center"/>
          </w:tcPr>
          <w:p>
            <w:pPr>
              <w:jc w:val="center"/>
            </w:pPr>
            <w:r>
              <w:rPr>
                <w:rFonts w:hint="eastAsia"/>
              </w:rPr>
              <w:t>人数（人）</w:t>
            </w:r>
          </w:p>
        </w:tc>
        <w:tc>
          <w:tcPr>
            <w:tcW w:w="2402" w:type="dxa"/>
            <w:tcBorders>
              <w:top w:val="single" w:color="auto" w:sz="4" w:space="0"/>
              <w:left w:val="single" w:color="auto" w:sz="4" w:space="0"/>
              <w:bottom w:val="single" w:color="auto" w:sz="4" w:space="0"/>
              <w:right w:val="single" w:color="auto" w:sz="4" w:space="0"/>
            </w:tcBorders>
            <w:shd w:val="clear" w:color="auto" w:fill="DBE5F1"/>
            <w:vAlign w:val="center"/>
          </w:tcPr>
          <w:p>
            <w:pPr>
              <w:jc w:val="center"/>
            </w:pPr>
            <w:r>
              <w:rPr>
                <w:rFonts w:hint="eastAsia"/>
              </w:rPr>
              <w:t>省份</w:t>
            </w:r>
          </w:p>
        </w:tc>
        <w:tc>
          <w:tcPr>
            <w:tcW w:w="1375" w:type="dxa"/>
            <w:tcBorders>
              <w:top w:val="single" w:color="auto" w:sz="4" w:space="0"/>
              <w:left w:val="single" w:color="auto" w:sz="4" w:space="0"/>
              <w:bottom w:val="single" w:color="auto" w:sz="4" w:space="0"/>
              <w:right w:val="single" w:color="auto" w:sz="4" w:space="0"/>
            </w:tcBorders>
            <w:shd w:val="clear" w:color="auto" w:fill="DBE5F1"/>
            <w:vAlign w:val="center"/>
          </w:tcPr>
          <w:p>
            <w:pPr>
              <w:jc w:val="center"/>
            </w:pPr>
            <w:r>
              <w:rPr>
                <w:rFonts w:hint="eastAsia"/>
              </w:rPr>
              <w:t>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lang w:val="en-US" w:eastAsia="zh-CN"/>
              </w:rPr>
            </w:pPr>
            <w:r>
              <w:rPr>
                <w:rFonts w:hint="eastAsia"/>
              </w:rPr>
              <w:t>湖南省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279</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lang w:eastAsia="zh-CN"/>
              </w:rPr>
              <w:t>浙江</w:t>
            </w:r>
            <w:r>
              <w:rPr>
                <w:rFonts w:hint="eastAsia"/>
              </w:rPr>
              <w:t>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甘肃省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广东省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贵州省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3</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广西省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lang w:eastAsia="zh-CN"/>
              </w:rPr>
              <w:t>山西省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1</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河南省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湖北省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7</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安徽省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吉林省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6</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云南省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宁夏自治区</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内蒙古自治区</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四川省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8</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新疆自治区</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重庆市</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5</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lang w:eastAsia="zh-CN"/>
              </w:rPr>
              <w:t>西藏自治区</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eastAsia"/>
                <w:lang w:eastAsia="zh-CN"/>
              </w:rPr>
            </w:pPr>
            <w:r>
              <w:rPr>
                <w:rFonts w:hint="eastAsia"/>
                <w:lang w:eastAsia="zh-CN"/>
              </w:rPr>
              <w:t>青海省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eastAsia"/>
                <w:lang w:val="en-US" w:eastAsia="zh-CN"/>
              </w:rPr>
            </w:pPr>
            <w:r>
              <w:rPr>
                <w:rFonts w:hint="eastAsia"/>
                <w:lang w:val="en-US" w:eastAsia="zh-CN"/>
              </w:rPr>
              <w:t>3</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eastAsia"/>
                <w:lang w:eastAsia="zh-CN"/>
              </w:rPr>
            </w:pPr>
            <w:r>
              <w:rPr>
                <w:rFonts w:hint="eastAsia"/>
                <w:lang w:eastAsia="zh-CN"/>
              </w:rPr>
              <w:t>河北省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eastAsia"/>
                <w:lang w:eastAsia="zh-CN"/>
              </w:rPr>
            </w:pPr>
            <w:r>
              <w:rPr>
                <w:rFonts w:hint="eastAsia"/>
                <w:lang w:eastAsia="zh-CN"/>
              </w:rPr>
              <w:t>江苏省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5</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eastAsia"/>
                <w:lang w:eastAsia="zh-CN"/>
              </w:rPr>
            </w:pPr>
            <w:r>
              <w:rPr>
                <w:rFonts w:hint="eastAsia"/>
                <w:lang w:eastAsia="zh-CN"/>
              </w:rPr>
              <w:t>辽宁省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3</w:t>
            </w:r>
          </w:p>
        </w:tc>
      </w:tr>
    </w:tbl>
    <w:p>
      <w:pPr>
        <w:pStyle w:val="4"/>
        <w:spacing w:before="0" w:after="0" w:line="360" w:lineRule="auto"/>
        <w:rPr>
          <w:rFonts w:hint="default" w:ascii="Times New Roman" w:hAnsi="Times New Roman" w:eastAsia="宋体" w:cs="Times New Roman"/>
          <w:szCs w:val="28"/>
          <w:lang w:eastAsia="zh-CN"/>
        </w:rPr>
      </w:pPr>
      <w:r>
        <w:rPr>
          <w:rFonts w:hint="eastAsia" w:ascii="Times New Roman" w:hAnsi="Times New Roman" w:eastAsia="宋体" w:cs="Times New Roman"/>
          <w:szCs w:val="28"/>
          <w:lang w:val="en-US" w:eastAsia="zh-CN"/>
        </w:rPr>
        <w:t>4</w:t>
      </w:r>
      <w:r>
        <w:rPr>
          <w:rFonts w:hint="default" w:ascii="Times New Roman" w:hAnsi="Times New Roman" w:eastAsia="宋体" w:cs="Times New Roman"/>
          <w:szCs w:val="28"/>
        </w:rPr>
        <w:t>、</w:t>
      </w:r>
      <w:bookmarkEnd w:id="14"/>
      <w:bookmarkEnd w:id="15"/>
      <w:bookmarkEnd w:id="16"/>
      <w:bookmarkEnd w:id="17"/>
      <w:bookmarkEnd w:id="18"/>
      <w:bookmarkStart w:id="19" w:name="_Toc5141"/>
      <w:bookmarkStart w:id="20" w:name="_Toc9117"/>
      <w:bookmarkStart w:id="21" w:name="_Toc31762"/>
      <w:bookmarkStart w:id="22" w:name="_Toc19594"/>
      <w:bookmarkStart w:id="23" w:name="_Toc11835"/>
      <w:r>
        <w:rPr>
          <w:rFonts w:hint="default" w:ascii="Times New Roman" w:hAnsi="Times New Roman" w:eastAsia="宋体" w:cs="Times New Roman"/>
        </w:rPr>
        <w:drawing>
          <wp:inline distT="0" distB="0" distL="0" distR="0">
            <wp:extent cx="14605" cy="14605"/>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default" w:ascii="Times New Roman" w:hAnsi="Times New Roman" w:eastAsia="宋体" w:cs="Times New Roman"/>
          <w:szCs w:val="28"/>
        </w:rPr>
        <w:t>各专业</w:t>
      </w:r>
      <w:bookmarkEnd w:id="19"/>
      <w:bookmarkEnd w:id="20"/>
      <w:bookmarkEnd w:id="21"/>
      <w:bookmarkEnd w:id="22"/>
      <w:bookmarkEnd w:id="23"/>
      <w:r>
        <w:rPr>
          <w:rFonts w:hint="default" w:ascii="Times New Roman" w:hAnsi="Times New Roman" w:eastAsia="宋体" w:cs="Times New Roman"/>
          <w:szCs w:val="28"/>
          <w:lang w:eastAsia="zh-CN"/>
        </w:rPr>
        <w:t>人数</w:t>
      </w:r>
    </w:p>
    <w:p>
      <w:pPr>
        <w:ind w:left="0" w:right="0" w:firstLine="640"/>
        <w:rPr>
          <w:rFonts w:hint="default" w:ascii="Times New Roman" w:hAnsi="Times New Roman" w:eastAsia="宋体" w:cs="Times New Roman"/>
        </w:rPr>
      </w:pPr>
      <w:r>
        <w:rPr>
          <w:rFonts w:hint="default" w:ascii="Times New Roman" w:hAnsi="Times New Roman" w:eastAsia="宋体" w:cs="Times New Roman"/>
          <w:sz w:val="28"/>
          <w:szCs w:val="28"/>
        </w:rPr>
        <w:t>我院各专业</w:t>
      </w:r>
      <w:r>
        <w:rPr>
          <w:rFonts w:hint="default" w:ascii="Times New Roman" w:hAnsi="Times New Roman" w:eastAsia="宋体" w:cs="Times New Roman"/>
          <w:sz w:val="28"/>
          <w:szCs w:val="28"/>
          <w:lang w:val="en-US" w:eastAsia="zh-CN"/>
        </w:rPr>
        <w:t>202</w:t>
      </w:r>
      <w:r>
        <w:rPr>
          <w:rFonts w:hint="eastAsia"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rPr>
        <w:t>届毕业生人数分别是：计算机科学与技术</w:t>
      </w:r>
      <w:r>
        <w:rPr>
          <w:rFonts w:hint="eastAsia" w:ascii="Times New Roman" w:hAnsi="Times New Roman" w:eastAsia="宋体" w:cs="Times New Roman"/>
          <w:sz w:val="28"/>
          <w:szCs w:val="28"/>
          <w:lang w:val="en-US" w:eastAsia="zh-CN"/>
        </w:rPr>
        <w:t>139</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38.61</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电子信息工程</w:t>
      </w:r>
      <w:r>
        <w:rPr>
          <w:rFonts w:hint="eastAsia" w:ascii="Times New Roman" w:hAnsi="Times New Roman" w:eastAsia="宋体" w:cs="Times New Roman"/>
          <w:sz w:val="28"/>
          <w:szCs w:val="28"/>
          <w:lang w:val="en-US" w:eastAsia="zh-CN"/>
        </w:rPr>
        <w:t>65</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18.06</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通信工程</w:t>
      </w:r>
      <w:r>
        <w:rPr>
          <w:rFonts w:hint="eastAsia" w:ascii="Times New Roman" w:hAnsi="Times New Roman" w:eastAsia="宋体" w:cs="Times New Roman"/>
          <w:sz w:val="28"/>
          <w:szCs w:val="28"/>
          <w:lang w:val="en-US" w:eastAsia="zh-CN"/>
        </w:rPr>
        <w:t>57</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15.83</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电气工程及其自动化</w:t>
      </w:r>
      <w:r>
        <w:rPr>
          <w:rFonts w:hint="eastAsia" w:ascii="Times New Roman" w:hAnsi="Times New Roman" w:eastAsia="宋体" w:cs="Times New Roman"/>
          <w:sz w:val="28"/>
          <w:szCs w:val="28"/>
          <w:lang w:val="en-US" w:eastAsia="zh-CN"/>
        </w:rPr>
        <w:t>99</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27.50</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（图</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tabs>
          <w:tab w:val="left" w:pos="6451"/>
        </w:tabs>
        <w:jc w:val="center"/>
        <w:rPr>
          <w:rFonts w:hint="default" w:ascii="Times New Roman" w:hAnsi="Times New Roman" w:eastAsia="宋体" w:cs="Times New Roman"/>
          <w:sz w:val="28"/>
          <w:szCs w:val="28"/>
        </w:rPr>
      </w:pPr>
      <w:r>
        <w:drawing>
          <wp:inline distT="0" distB="0" distL="114300" distR="114300">
            <wp:extent cx="4572000" cy="2743200"/>
            <wp:effectExtent l="4445" t="4445" r="14605" b="14605"/>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keepNext w:val="0"/>
        <w:keepLines w:val="0"/>
        <w:pageBreakBefore w:val="0"/>
        <w:widowControl w:val="0"/>
        <w:numPr>
          <w:ilvl w:val="0"/>
          <w:numId w:val="1"/>
        </w:numPr>
        <w:tabs>
          <w:tab w:val="left" w:pos="6451"/>
        </w:tabs>
        <w:overflowPunct w:val="0"/>
        <w:bidi w:val="0"/>
        <w:snapToGrid/>
        <w:spacing w:line="360" w:lineRule="auto"/>
        <w:jc w:val="left"/>
        <w:textAlignment w:val="auto"/>
        <w:outlineLvl w:val="0"/>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202</w:t>
      </w:r>
      <w:r>
        <w:rPr>
          <w:rFonts w:hint="eastAsia" w:ascii="Times New Roman" w:hAnsi="Times New Roman" w:eastAsia="宋体" w:cs="Times New Roman"/>
          <w:b/>
          <w:bCs/>
          <w:sz w:val="28"/>
          <w:szCs w:val="28"/>
          <w:lang w:val="en-US" w:eastAsia="zh-CN"/>
        </w:rPr>
        <w:t>1</w:t>
      </w:r>
      <w:r>
        <w:rPr>
          <w:rFonts w:hint="default" w:ascii="Times New Roman" w:hAnsi="Times New Roman" w:eastAsia="宋体" w:cs="Times New Roman"/>
          <w:b/>
          <w:bCs/>
          <w:sz w:val="28"/>
          <w:szCs w:val="28"/>
          <w:lang w:val="en-US" w:eastAsia="zh-CN"/>
        </w:rPr>
        <w:t>届毕业生就业情况</w:t>
      </w:r>
    </w:p>
    <w:p>
      <w:pPr>
        <w:pStyle w:val="13"/>
        <w:spacing w:line="360" w:lineRule="auto"/>
        <w:ind w:left="0" w:right="0" w:firstLine="560"/>
        <w:jc w:val="both"/>
        <w:rPr>
          <w:rFonts w:hint="default" w:ascii="Times New Roman" w:hAnsi="Times New Roman" w:eastAsia="宋体" w:cs="Times New Roman"/>
          <w:kern w:val="2"/>
          <w:sz w:val="28"/>
          <w:szCs w:val="28"/>
          <w:lang w:val="en-US" w:eastAsia="zh-CN"/>
        </w:rPr>
      </w:pPr>
      <w:r>
        <w:rPr>
          <w:rFonts w:hint="default" w:ascii="Times New Roman" w:hAnsi="Times New Roman" w:eastAsia="宋体" w:cs="Times New Roman"/>
          <w:kern w:val="2"/>
          <w:sz w:val="28"/>
          <w:szCs w:val="28"/>
        </w:rPr>
        <w:t>截至</w:t>
      </w:r>
      <w:r>
        <w:rPr>
          <w:rFonts w:hint="default" w:ascii="Times New Roman" w:hAnsi="Times New Roman" w:eastAsia="宋体" w:cs="Times New Roman"/>
          <w:kern w:val="2"/>
          <w:sz w:val="28"/>
          <w:szCs w:val="28"/>
          <w:lang w:val="en-US" w:eastAsia="zh-CN"/>
        </w:rPr>
        <w:t>202</w:t>
      </w:r>
      <w:r>
        <w:rPr>
          <w:rFonts w:hint="eastAsia" w:ascii="Times New Roman" w:hAnsi="Times New Roman" w:eastAsia="宋体" w:cs="Times New Roman"/>
          <w:kern w:val="2"/>
          <w:sz w:val="28"/>
          <w:szCs w:val="28"/>
          <w:lang w:val="en-US" w:eastAsia="zh-CN"/>
        </w:rPr>
        <w:t>1</w:t>
      </w:r>
      <w:r>
        <w:rPr>
          <w:rFonts w:hint="default" w:ascii="Times New Roman" w:hAnsi="Times New Roman" w:eastAsia="宋体" w:cs="Times New Roman"/>
          <w:kern w:val="2"/>
          <w:sz w:val="28"/>
          <w:szCs w:val="28"/>
        </w:rPr>
        <w:t>年</w:t>
      </w:r>
      <w:r>
        <w:rPr>
          <w:rFonts w:hint="default" w:ascii="Times New Roman" w:hAnsi="Times New Roman" w:eastAsia="宋体" w:cs="Times New Roman"/>
          <w:kern w:val="2"/>
          <w:sz w:val="28"/>
          <w:szCs w:val="28"/>
          <w:lang w:val="en-US" w:eastAsia="zh-CN"/>
        </w:rPr>
        <w:t>12</w:t>
      </w:r>
      <w:r>
        <w:rPr>
          <w:rFonts w:hint="default" w:ascii="Times New Roman" w:hAnsi="Times New Roman" w:eastAsia="宋体" w:cs="Times New Roman"/>
          <w:kern w:val="2"/>
          <w:sz w:val="28"/>
          <w:szCs w:val="28"/>
        </w:rPr>
        <w:t>月</w:t>
      </w:r>
      <w:r>
        <w:rPr>
          <w:rFonts w:hint="eastAsia" w:ascii="Times New Roman" w:hAnsi="Times New Roman" w:eastAsia="宋体" w:cs="Times New Roman"/>
          <w:kern w:val="2"/>
          <w:sz w:val="28"/>
          <w:szCs w:val="28"/>
          <w:lang w:val="en-US" w:eastAsia="zh-CN"/>
        </w:rPr>
        <w:t>25</w:t>
      </w:r>
      <w:r>
        <w:rPr>
          <w:rFonts w:hint="default" w:ascii="Times New Roman" w:hAnsi="Times New Roman" w:eastAsia="宋体" w:cs="Times New Roman"/>
          <w:kern w:val="2"/>
          <w:sz w:val="28"/>
          <w:szCs w:val="28"/>
        </w:rPr>
        <w:t>日，我院20</w:t>
      </w:r>
      <w:r>
        <w:rPr>
          <w:rFonts w:hint="default" w:ascii="Times New Roman" w:hAnsi="Times New Roman" w:eastAsia="宋体" w:cs="Times New Roman"/>
          <w:kern w:val="2"/>
          <w:sz w:val="28"/>
          <w:szCs w:val="28"/>
          <w:lang w:val="en-US" w:eastAsia="zh-CN"/>
        </w:rPr>
        <w:t>2</w:t>
      </w:r>
      <w:r>
        <w:rPr>
          <w:rFonts w:hint="eastAsia" w:ascii="Times New Roman" w:hAnsi="Times New Roman" w:eastAsia="宋体" w:cs="Times New Roman"/>
          <w:kern w:val="2"/>
          <w:sz w:val="28"/>
          <w:szCs w:val="28"/>
          <w:lang w:val="en-US" w:eastAsia="zh-CN"/>
        </w:rPr>
        <w:t>1</w:t>
      </w:r>
      <w:r>
        <w:rPr>
          <w:rFonts w:hint="default" w:ascii="Times New Roman" w:hAnsi="Times New Roman" w:eastAsia="宋体" w:cs="Times New Roman"/>
          <w:kern w:val="2"/>
          <w:sz w:val="28"/>
          <w:szCs w:val="28"/>
        </w:rPr>
        <w:t>届毕业生</w:t>
      </w:r>
      <w:r>
        <w:rPr>
          <w:rFonts w:hint="default" w:ascii="Times New Roman" w:hAnsi="Times New Roman" w:eastAsia="宋体" w:cs="Times New Roman"/>
          <w:kern w:val="2"/>
          <w:sz w:val="28"/>
          <w:szCs w:val="28"/>
          <w:lang w:eastAsia="zh-CN"/>
        </w:rPr>
        <w:t>就业人数为</w:t>
      </w:r>
      <w:r>
        <w:rPr>
          <w:rFonts w:hint="eastAsia" w:ascii="Times New Roman" w:hAnsi="Times New Roman" w:eastAsia="宋体" w:cs="Times New Roman"/>
          <w:kern w:val="2"/>
          <w:sz w:val="28"/>
          <w:szCs w:val="28"/>
          <w:lang w:val="en-US" w:eastAsia="zh-CN"/>
        </w:rPr>
        <w:t>326</w:t>
      </w:r>
      <w:r>
        <w:rPr>
          <w:rFonts w:hint="default" w:ascii="Times New Roman" w:hAnsi="Times New Roman" w:eastAsia="宋体" w:cs="Times New Roman"/>
          <w:kern w:val="2"/>
          <w:sz w:val="28"/>
          <w:szCs w:val="28"/>
          <w:lang w:val="en-US" w:eastAsia="zh-CN"/>
        </w:rPr>
        <w:t>人，</w:t>
      </w:r>
      <w:r>
        <w:rPr>
          <w:rFonts w:hint="default" w:ascii="Times New Roman" w:hAnsi="Times New Roman" w:eastAsia="宋体" w:cs="Times New Roman"/>
          <w:kern w:val="2"/>
          <w:sz w:val="28"/>
          <w:szCs w:val="28"/>
        </w:rPr>
        <w:t>就业率为</w:t>
      </w:r>
      <w:r>
        <w:rPr>
          <w:rFonts w:hint="eastAsia" w:ascii="Times New Roman" w:hAnsi="Times New Roman" w:eastAsia="宋体" w:cs="Times New Roman"/>
          <w:kern w:val="2"/>
          <w:sz w:val="28"/>
          <w:szCs w:val="28"/>
          <w:lang w:val="en-US" w:eastAsia="zh-CN"/>
        </w:rPr>
        <w:t>90.56</w:t>
      </w:r>
      <w:r>
        <w:rPr>
          <w:rFonts w:hint="default" w:ascii="Times New Roman" w:hAnsi="Times New Roman" w:eastAsia="宋体" w:cs="Times New Roman"/>
          <w:kern w:val="2"/>
          <w:sz w:val="28"/>
          <w:szCs w:val="28"/>
        </w:rPr>
        <w:t>%</w:t>
      </w:r>
      <w:r>
        <w:rPr>
          <w:rFonts w:hint="default" w:ascii="Times New Roman" w:hAnsi="Times New Roman" w:eastAsia="宋体" w:cs="Times New Roman"/>
          <w:kern w:val="2"/>
          <w:sz w:val="28"/>
          <w:szCs w:val="28"/>
          <w:lang w:eastAsia="zh-CN"/>
        </w:rPr>
        <w:t>，待就业人数</w:t>
      </w:r>
      <w:r>
        <w:rPr>
          <w:rFonts w:hint="eastAsia" w:ascii="Times New Roman" w:hAnsi="Times New Roman" w:eastAsia="宋体" w:cs="Times New Roman"/>
          <w:kern w:val="2"/>
          <w:sz w:val="28"/>
          <w:szCs w:val="28"/>
          <w:lang w:val="en-US" w:eastAsia="zh-CN"/>
        </w:rPr>
        <w:t>34</w:t>
      </w:r>
      <w:r>
        <w:rPr>
          <w:rFonts w:hint="default" w:ascii="Times New Roman" w:hAnsi="Times New Roman" w:eastAsia="宋体" w:cs="Times New Roman"/>
          <w:kern w:val="2"/>
          <w:sz w:val="28"/>
          <w:szCs w:val="28"/>
          <w:lang w:val="en-US" w:eastAsia="zh-CN"/>
        </w:rPr>
        <w:t>人，占</w:t>
      </w:r>
      <w:r>
        <w:rPr>
          <w:rFonts w:hint="eastAsia" w:ascii="Times New Roman" w:hAnsi="Times New Roman" w:eastAsia="宋体" w:cs="Times New Roman"/>
          <w:kern w:val="2"/>
          <w:sz w:val="28"/>
          <w:szCs w:val="28"/>
          <w:lang w:val="en-US" w:eastAsia="zh-CN"/>
        </w:rPr>
        <w:t>9.44</w:t>
      </w:r>
      <w:r>
        <w:rPr>
          <w:rFonts w:hint="default" w:ascii="Times New Roman" w:hAnsi="Times New Roman" w:eastAsia="宋体" w:cs="Times New Roman"/>
          <w:kern w:val="2"/>
          <w:sz w:val="28"/>
          <w:szCs w:val="28"/>
          <w:lang w:val="en-US" w:eastAsia="zh-CN"/>
        </w:rPr>
        <w:t>%。</w:t>
      </w:r>
    </w:p>
    <w:p>
      <w:pPr>
        <w:pStyle w:val="4"/>
        <w:numPr>
          <w:ilvl w:val="0"/>
          <w:numId w:val="0"/>
        </w:numPr>
        <w:spacing w:before="0" w:after="0" w:line="360" w:lineRule="auto"/>
        <w:ind w:leftChars="0" w:right="0" w:rightChars="0"/>
        <w:rPr>
          <w:rFonts w:hint="default" w:ascii="Times New Roman" w:hAnsi="Times New Roman" w:eastAsia="宋体" w:cs="Times New Roman"/>
        </w:rPr>
      </w:pPr>
      <w:r>
        <w:rPr>
          <w:rFonts w:hint="eastAsia" w:ascii="Times New Roman" w:hAnsi="Times New Roman" w:eastAsia="宋体" w:cs="Times New Roman"/>
          <w:lang w:val="en-US" w:eastAsia="zh-CN"/>
        </w:rPr>
        <w:t>1、</w:t>
      </w:r>
      <w:r>
        <w:rPr>
          <w:rFonts w:hint="default" w:ascii="Times New Roman" w:hAnsi="Times New Roman" w:eastAsia="宋体" w:cs="Times New Roman"/>
        </w:rPr>
        <w:t>毕业生各专业就业率</w:t>
      </w:r>
    </w:p>
    <w:p>
      <w:pPr>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我院2021届各专业毕业生就业率为：电子信息工程专业就业率93.85%，通信工程专业就业率96.49%，计算机科学与技术专业就业率86.33%，电气工程及其自动化专业就业率90.90%（表2）。</w:t>
      </w:r>
    </w:p>
    <w:p>
      <w:pPr>
        <w:pStyle w:val="24"/>
        <w:widowControl/>
        <w:spacing w:line="360" w:lineRule="auto"/>
        <w:ind w:left="0" w:right="0"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 xml:space="preserve"> 吉首大学信息科学与工程学院20</w:t>
      </w:r>
      <w:r>
        <w:rPr>
          <w:rFonts w:hint="eastAsia" w:ascii="Times New Roman" w:hAnsi="Times New Roman" w:cs="Times New Roman"/>
          <w:b/>
          <w:bCs/>
          <w:color w:val="auto"/>
          <w:kern w:val="2"/>
          <w:sz w:val="24"/>
          <w:szCs w:val="24"/>
          <w:lang w:val="en-US" w:eastAsia="zh-CN" w:bidi="ar-SA"/>
        </w:rPr>
        <w:t>21</w:t>
      </w:r>
      <w:r>
        <w:rPr>
          <w:rFonts w:hint="default" w:ascii="Times New Roman" w:hAnsi="Times New Roman" w:eastAsia="宋体" w:cs="Times New Roman"/>
          <w:b/>
          <w:bCs/>
          <w:color w:val="auto"/>
          <w:kern w:val="2"/>
          <w:sz w:val="24"/>
          <w:szCs w:val="24"/>
          <w:lang w:val="en-US" w:eastAsia="zh-CN" w:bidi="ar-SA"/>
        </w:rPr>
        <w:t>届毕业生各专业就业率</w:t>
      </w:r>
    </w:p>
    <w:tbl>
      <w:tblPr>
        <w:tblStyle w:val="14"/>
        <w:tblW w:w="8522" w:type="dxa"/>
        <w:tblInd w:w="0" w:type="dxa"/>
        <w:shd w:val="clear" w:color="auto" w:fill="FFFFFF" w:themeFill="background1"/>
        <w:tblLayout w:type="autofit"/>
        <w:tblCellMar>
          <w:top w:w="0" w:type="dxa"/>
          <w:left w:w="108" w:type="dxa"/>
          <w:bottom w:w="0" w:type="dxa"/>
          <w:right w:w="108" w:type="dxa"/>
        </w:tblCellMar>
      </w:tblPr>
      <w:tblGrid>
        <w:gridCol w:w="1182"/>
        <w:gridCol w:w="2853"/>
        <w:gridCol w:w="1344"/>
        <w:gridCol w:w="1718"/>
        <w:gridCol w:w="1425"/>
      </w:tblGrid>
      <w:tr>
        <w:tblPrEx>
          <w:shd w:val="clear" w:color="auto" w:fill="FFFFFF" w:themeFill="background1"/>
          <w:tblCellMar>
            <w:top w:w="0" w:type="dxa"/>
            <w:left w:w="108" w:type="dxa"/>
            <w:bottom w:w="0" w:type="dxa"/>
            <w:right w:w="108" w:type="dxa"/>
          </w:tblCellMar>
        </w:tblPrEx>
        <w:trPr>
          <w:trHeight w:val="485" w:hRule="atLeast"/>
        </w:trPr>
        <w:tc>
          <w:tcPr>
            <w:tcW w:w="1182"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学历层次</w:t>
            </w:r>
          </w:p>
        </w:tc>
        <w:tc>
          <w:tcPr>
            <w:tcW w:w="285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专业名称</w:t>
            </w:r>
          </w:p>
        </w:tc>
        <w:tc>
          <w:tcPr>
            <w:tcW w:w="1344"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总人数</w:t>
            </w:r>
          </w:p>
        </w:tc>
        <w:tc>
          <w:tcPr>
            <w:tcW w:w="1718"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就业人数</w:t>
            </w:r>
          </w:p>
        </w:tc>
        <w:tc>
          <w:tcPr>
            <w:tcW w:w="142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bidi="ar"/>
              </w:rPr>
              <w:t>就业率</w:t>
            </w:r>
            <w:r>
              <w:rPr>
                <w:rFonts w:hint="default" w:ascii="Times New Roman" w:hAnsi="Times New Roman" w:eastAsia="宋体" w:cs="Times New Roman"/>
                <w:b/>
                <w:kern w:val="0"/>
                <w:sz w:val="24"/>
                <w:szCs w:val="24"/>
                <w:lang w:bidi="ar"/>
              </w:rPr>
              <w:t>(%)</w:t>
            </w:r>
          </w:p>
        </w:tc>
      </w:tr>
      <w:tr>
        <w:tblPrEx>
          <w:tblCellMar>
            <w:top w:w="0" w:type="dxa"/>
            <w:left w:w="108" w:type="dxa"/>
            <w:bottom w:w="0" w:type="dxa"/>
            <w:right w:w="108" w:type="dxa"/>
          </w:tblCellMar>
        </w:tblPrEx>
        <w:trPr>
          <w:trHeight w:val="590" w:hRule="atLeast"/>
        </w:trPr>
        <w:tc>
          <w:tcPr>
            <w:tcW w:w="1182"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widowControl/>
              <w:spacing w:line="48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bidi="ar"/>
              </w:rPr>
              <w:t>本</w:t>
            </w:r>
          </w:p>
          <w:p>
            <w:pPr>
              <w:widowControl/>
              <w:spacing w:line="480" w:lineRule="auto"/>
              <w:jc w:val="center"/>
              <w:rPr>
                <w:rFonts w:hint="default" w:ascii="Times New Roman" w:hAnsi="Times New Roman" w:eastAsia="宋体" w:cs="Times New Roman"/>
                <w:b/>
                <w:bCs/>
                <w:kern w:val="0"/>
                <w:sz w:val="24"/>
                <w:szCs w:val="24"/>
              </w:rPr>
            </w:pPr>
          </w:p>
          <w:p>
            <w:pPr>
              <w:widowControl/>
              <w:spacing w:line="48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bidi="ar"/>
              </w:rPr>
              <w:t>科</w:t>
            </w: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电子信息工程</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65</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61</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93.85%</w:t>
            </w:r>
          </w:p>
        </w:tc>
      </w:tr>
      <w:tr>
        <w:tblPrEx>
          <w:tblCellMar>
            <w:top w:w="0" w:type="dxa"/>
            <w:left w:w="108" w:type="dxa"/>
            <w:bottom w:w="0" w:type="dxa"/>
            <w:right w:w="108" w:type="dxa"/>
          </w:tblCellMar>
        </w:tblPrEx>
        <w:trPr>
          <w:trHeight w:val="590" w:hRule="atLeast"/>
        </w:trPr>
        <w:tc>
          <w:tcPr>
            <w:tcW w:w="1182" w:type="dxa"/>
            <w:vMerge w:val="continue"/>
            <w:tcBorders>
              <w:left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通信工程</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57</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55</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96.49%</w:t>
            </w:r>
          </w:p>
        </w:tc>
      </w:tr>
      <w:tr>
        <w:tblPrEx>
          <w:tblCellMar>
            <w:top w:w="0" w:type="dxa"/>
            <w:left w:w="108" w:type="dxa"/>
            <w:bottom w:w="0" w:type="dxa"/>
            <w:right w:w="108" w:type="dxa"/>
          </w:tblCellMar>
        </w:tblPrEx>
        <w:trPr>
          <w:trHeight w:val="590" w:hRule="atLeast"/>
        </w:trPr>
        <w:tc>
          <w:tcPr>
            <w:tcW w:w="1182" w:type="dxa"/>
            <w:vMerge w:val="continue"/>
            <w:tcBorders>
              <w:left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计算机科学与技术</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139</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120</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86.33%</w:t>
            </w:r>
          </w:p>
        </w:tc>
      </w:tr>
      <w:tr>
        <w:tblPrEx>
          <w:tblCellMar>
            <w:top w:w="0" w:type="dxa"/>
            <w:left w:w="108" w:type="dxa"/>
            <w:bottom w:w="0" w:type="dxa"/>
            <w:right w:w="108" w:type="dxa"/>
          </w:tblCellMar>
        </w:tblPrEx>
        <w:trPr>
          <w:trHeight w:val="590" w:hRule="atLeast"/>
        </w:trPr>
        <w:tc>
          <w:tcPr>
            <w:tcW w:w="1182" w:type="dxa"/>
            <w:vMerge w:val="continue"/>
            <w:tcBorders>
              <w:left w:val="single" w:color="000000" w:sz="4" w:space="0"/>
              <w:bottom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电气工程及其自动化</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99</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90</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90.90%</w:t>
            </w:r>
          </w:p>
        </w:tc>
      </w:tr>
    </w:tbl>
    <w:p>
      <w:pPr>
        <w:pStyle w:val="13"/>
        <w:numPr>
          <w:ilvl w:val="0"/>
          <w:numId w:val="0"/>
        </w:numPr>
        <w:spacing w:line="360" w:lineRule="auto"/>
        <w:ind w:leftChars="0" w:right="0" w:rightChars="0"/>
        <w:jc w:val="both"/>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2、毕业生就业形式统计</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firstLineChars="200"/>
        <w:jc w:val="both"/>
        <w:textAlignment w:val="auto"/>
        <w:rPr>
          <w:rFonts w:hint="eastAsia" w:ascii="Times New Roman" w:hAnsi="Times New Roman" w:eastAsia="宋体" w:cs="Times New Roman"/>
          <w:kern w:val="2"/>
          <w:sz w:val="28"/>
          <w:szCs w:val="28"/>
          <w:lang w:val="en-US" w:eastAsia="zh-CN"/>
        </w:rPr>
      </w:pPr>
      <w:r>
        <w:rPr>
          <w:rFonts w:hint="eastAsia" w:ascii="Times New Roman" w:hAnsi="Times New Roman" w:eastAsia="宋体" w:cs="Times New Roman"/>
          <w:kern w:val="2"/>
          <w:sz w:val="28"/>
          <w:szCs w:val="28"/>
          <w:shd w:val="clear"/>
          <w:lang w:val="en-US" w:eastAsia="zh-CN"/>
        </w:rPr>
        <w:t>我院2021届毕业生整体就业率为90.56%，其中</w:t>
      </w:r>
      <w:r>
        <w:rPr>
          <w:rFonts w:hint="eastAsia" w:ascii="Times New Roman" w:hAnsi="Times New Roman" w:eastAsia="宋体" w:cs="Times New Roman"/>
          <w:kern w:val="2"/>
          <w:sz w:val="28"/>
          <w:szCs w:val="28"/>
          <w:lang w:val="en-US" w:eastAsia="zh-CN"/>
        </w:rPr>
        <w:t>，签订就业协议人数比例为41.47%，签订劳动合同人数比例为24.41%，其他形式就业人数比例为9.19%，国内升学人数比例为11.55%，出国出境深造人数比例为0.26%（表2）。</w:t>
      </w:r>
    </w:p>
    <w:p>
      <w:pPr>
        <w:pStyle w:val="13"/>
        <w:spacing w:line="360" w:lineRule="auto"/>
        <w:ind w:right="0"/>
        <w:jc w:val="center"/>
        <w:rPr>
          <w:rFonts w:hint="default" w:ascii="Times New Roman" w:hAnsi="Times New Roman" w:eastAsia="宋体" w:cs="Times New Roman"/>
          <w:b/>
          <w:bCs/>
          <w:kern w:val="2"/>
          <w:sz w:val="24"/>
          <w:szCs w:val="24"/>
          <w:lang w:val="en-US" w:eastAsia="zh-CN"/>
        </w:rPr>
      </w:pPr>
      <w:r>
        <w:rPr>
          <w:rFonts w:hint="eastAsia" w:ascii="Times New Roman" w:hAnsi="Times New Roman" w:eastAsia="宋体" w:cs="Times New Roman"/>
          <w:b/>
          <w:bCs/>
          <w:kern w:val="2"/>
          <w:sz w:val="24"/>
          <w:szCs w:val="24"/>
          <w:lang w:val="en-US" w:eastAsia="zh-CN"/>
        </w:rPr>
        <w:t>表3  信息科学与工程学院2021届毕业生就业形式统计</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2442"/>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817"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就业情况</w:t>
            </w:r>
          </w:p>
        </w:tc>
        <w:tc>
          <w:tcPr>
            <w:tcW w:w="2442"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就业形式</w:t>
            </w:r>
          </w:p>
        </w:tc>
        <w:tc>
          <w:tcPr>
            <w:tcW w:w="2130"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人数</w:t>
            </w:r>
          </w:p>
        </w:tc>
        <w:tc>
          <w:tcPr>
            <w:tcW w:w="2130"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restart"/>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bookmarkStart w:id="24" w:name="_Toc31818"/>
            <w:bookmarkStart w:id="25" w:name="_Toc7352"/>
            <w:bookmarkStart w:id="26" w:name="_Toc1401"/>
            <w:bookmarkStart w:id="27" w:name="_Toc28163"/>
            <w:r>
              <w:rPr>
                <w:rFonts w:hint="eastAsia" w:ascii="宋体" w:hAnsi="宋体" w:eastAsia="宋体" w:cs="宋体"/>
                <w:b/>
                <w:bCs/>
                <w:sz w:val="24"/>
                <w:szCs w:val="24"/>
                <w:lang w:eastAsia="zh-CN"/>
              </w:rPr>
              <w:t>就业</w:t>
            </w: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签订就业协议就业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144</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40.00</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签订劳动合同就业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75</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20.83</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其他形式就业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65</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18.06</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国内升学</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42</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11.67</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合计</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326</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90.56</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restart"/>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未就业</w:t>
            </w: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待就业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1.67</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sz w:val="24"/>
                <w:szCs w:val="24"/>
                <w:lang w:eastAsia="zh-CN"/>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暂不就业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30</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8.33</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sz w:val="24"/>
                <w:szCs w:val="24"/>
                <w:lang w:eastAsia="zh-CN"/>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合计</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34</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9.44</w:t>
            </w:r>
            <w:r>
              <w:rPr>
                <w:rFonts w:hint="default" w:ascii="Times New Roman" w:hAnsi="Times New Roman" w:eastAsia="宋体" w:cs="Times New Roman"/>
                <w:color w:val="000000"/>
                <w:sz w:val="24"/>
                <w:szCs w:val="24"/>
              </w:rPr>
              <w:t>%</w:t>
            </w:r>
          </w:p>
        </w:tc>
      </w:tr>
      <w:bookmarkEnd w:id="24"/>
      <w:bookmarkEnd w:id="25"/>
      <w:bookmarkEnd w:id="26"/>
      <w:bookmarkEnd w:id="27"/>
    </w:tbl>
    <w:p>
      <w:pPr>
        <w:pStyle w:val="4"/>
        <w:spacing w:before="0" w:after="0" w:line="360" w:lineRule="auto"/>
        <w:rPr>
          <w:rFonts w:hint="eastAsia" w:ascii="Times New Roman" w:hAnsi="Times New Roman" w:eastAsia="宋体" w:cs="Times New Roman"/>
          <w:color w:val="FF0000"/>
          <w:szCs w:val="28"/>
          <w:lang w:eastAsia="zh-CN"/>
        </w:rPr>
      </w:pPr>
      <w:bookmarkStart w:id="28" w:name="_Toc1392"/>
      <w:bookmarkStart w:id="29" w:name="_Toc17160"/>
      <w:bookmarkStart w:id="30" w:name="_Toc4940"/>
      <w:bookmarkStart w:id="31" w:name="_Toc31310"/>
      <w:bookmarkStart w:id="32" w:name="_Toc14132"/>
      <w:r>
        <w:rPr>
          <w:rFonts w:hint="eastAsia" w:ascii="Times New Roman" w:hAnsi="Times New Roman" w:eastAsia="宋体" w:cs="Times New Roman"/>
          <w:szCs w:val="28"/>
          <w:lang w:val="en-US" w:eastAsia="zh-CN"/>
        </w:rPr>
        <w:t>3</w:t>
      </w:r>
      <w:r>
        <w:rPr>
          <w:rFonts w:hint="default" w:ascii="Times New Roman" w:hAnsi="Times New Roman" w:eastAsia="宋体" w:cs="Times New Roman"/>
          <w:szCs w:val="22"/>
        </w:rPr>
        <w:t>、</w:t>
      </w:r>
      <w:bookmarkEnd w:id="28"/>
      <w:bookmarkEnd w:id="29"/>
      <w:bookmarkEnd w:id="30"/>
      <w:bookmarkEnd w:id="31"/>
      <w:bookmarkEnd w:id="32"/>
      <w:r>
        <w:rPr>
          <w:rFonts w:hint="eastAsia" w:ascii="Times New Roman" w:hAnsi="Times New Roman" w:eastAsia="宋体" w:cs="Times New Roman"/>
          <w:szCs w:val="22"/>
          <w:lang w:eastAsia="zh-CN"/>
        </w:rPr>
        <w:t>毕业生就业单位性质分析</w:t>
      </w:r>
    </w:p>
    <w:p>
      <w:pPr>
        <w:ind w:left="0" w:right="0" w:firstLine="640"/>
        <w:rPr>
          <w:rFonts w:hint="default" w:ascii="Times New Roman" w:hAnsi="Times New Roman" w:eastAsia="宋体" w:cs="Times New Roman"/>
        </w:rPr>
      </w:pPr>
      <w:r>
        <w:rPr>
          <w:rFonts w:hint="default" w:ascii="Times New Roman" w:hAnsi="Times New Roman" w:eastAsia="宋体" w:cs="Times New Roman"/>
          <w:sz w:val="28"/>
          <w:szCs w:val="28"/>
        </w:rPr>
        <w:t>我院20</w:t>
      </w:r>
      <w:r>
        <w:rPr>
          <w:rFonts w:hint="eastAsia" w:ascii="Times New Roman" w:hAnsi="Times New Roman" w:eastAsia="宋体" w:cs="Times New Roman"/>
          <w:sz w:val="28"/>
          <w:szCs w:val="28"/>
          <w:lang w:val="en-US" w:eastAsia="zh-CN"/>
        </w:rPr>
        <w:t>21</w:t>
      </w:r>
      <w:r>
        <w:rPr>
          <w:rFonts w:hint="default" w:ascii="Times New Roman" w:hAnsi="Times New Roman" w:eastAsia="宋体" w:cs="Times New Roman"/>
          <w:sz w:val="28"/>
          <w:szCs w:val="28"/>
        </w:rPr>
        <w:t>届毕业生就业单位性质分布中，最多的是</w:t>
      </w:r>
      <w:r>
        <w:rPr>
          <w:rFonts w:hint="eastAsia" w:ascii="Times New Roman" w:hAnsi="Times New Roman" w:eastAsia="宋体" w:cs="Times New Roman"/>
          <w:sz w:val="28"/>
          <w:szCs w:val="28"/>
          <w:lang w:eastAsia="zh-CN"/>
        </w:rPr>
        <w:t>其他企业</w:t>
      </w:r>
      <w:r>
        <w:rPr>
          <w:rFonts w:hint="default" w:ascii="Times New Roman" w:hAnsi="Times New Roman" w:eastAsia="宋体" w:cs="Times New Roman"/>
          <w:sz w:val="28"/>
          <w:szCs w:val="28"/>
        </w:rPr>
        <w:t>，占</w:t>
      </w:r>
      <w:r>
        <w:rPr>
          <w:rFonts w:hint="eastAsia" w:ascii="Times New Roman" w:hAnsi="Times New Roman" w:eastAsia="宋体" w:cs="Times New Roman"/>
          <w:sz w:val="28"/>
          <w:szCs w:val="28"/>
          <w:lang w:val="en-US" w:eastAsia="zh-CN"/>
        </w:rPr>
        <w:t>58.90</w:t>
      </w:r>
      <w:r>
        <w:rPr>
          <w:rFonts w:hint="default" w:ascii="Times New Roman" w:hAnsi="Times New Roman" w:eastAsia="宋体" w:cs="Times New Roman"/>
          <w:sz w:val="28"/>
          <w:szCs w:val="28"/>
        </w:rPr>
        <w:t>%；其次是</w:t>
      </w:r>
      <w:r>
        <w:rPr>
          <w:rFonts w:hint="eastAsia" w:ascii="Times New Roman" w:hAnsi="Times New Roman" w:eastAsia="宋体" w:cs="Times New Roman"/>
          <w:sz w:val="28"/>
          <w:szCs w:val="28"/>
          <w:lang w:eastAsia="zh-CN"/>
        </w:rPr>
        <w:t>国有企业</w:t>
      </w:r>
      <w:r>
        <w:rPr>
          <w:rFonts w:hint="default" w:ascii="Times New Roman" w:hAnsi="Times New Roman" w:eastAsia="宋体" w:cs="Times New Roman"/>
          <w:sz w:val="28"/>
          <w:szCs w:val="28"/>
        </w:rPr>
        <w:t>，占</w:t>
      </w:r>
      <w:r>
        <w:rPr>
          <w:rFonts w:hint="eastAsia" w:ascii="Times New Roman" w:hAnsi="Times New Roman" w:eastAsia="宋体" w:cs="Times New Roman"/>
          <w:sz w:val="28"/>
          <w:szCs w:val="28"/>
          <w:lang w:val="en-US" w:eastAsia="zh-CN"/>
        </w:rPr>
        <w:t>17.48</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最后是升学、自由职业、部队、三资企业</w:t>
      </w:r>
      <w:r>
        <w:rPr>
          <w:rFonts w:hint="default" w:ascii="Times New Roman" w:hAnsi="Times New Roman" w:eastAsia="宋体" w:cs="Times New Roman"/>
          <w:sz w:val="28"/>
          <w:szCs w:val="28"/>
        </w:rPr>
        <w:t>等</w:t>
      </w:r>
      <w:r>
        <w:rPr>
          <w:rFonts w:hint="eastAsia" w:ascii="Times New Roman" w:hAnsi="Times New Roman" w:eastAsia="宋体" w:cs="Times New Roman"/>
          <w:sz w:val="28"/>
          <w:szCs w:val="28"/>
          <w:lang w:eastAsia="zh-CN"/>
        </w:rPr>
        <w:t>（表</w:t>
      </w:r>
      <w:r>
        <w:rPr>
          <w:rFonts w:hint="eastAsia"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ind w:left="0" w:right="0" w:firstLine="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ab/>
      </w:r>
      <w:r>
        <w:rPr>
          <w:rFonts w:hint="default" w:ascii="Times New Roman" w:hAnsi="Times New Roman" w:eastAsia="宋体" w:cs="Times New Roman"/>
          <w:b/>
          <w:bCs/>
          <w:color w:val="auto"/>
          <w:kern w:val="2"/>
          <w:sz w:val="24"/>
          <w:szCs w:val="24"/>
          <w:lang w:val="en-US" w:eastAsia="zh-CN" w:bidi="ar-SA"/>
        </w:rPr>
        <w:tab/>
      </w: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 xml:space="preserve">4  </w:t>
      </w:r>
      <w:r>
        <w:rPr>
          <w:rFonts w:hint="default" w:ascii="Times New Roman" w:hAnsi="Times New Roman" w:eastAsia="宋体" w:cs="Times New Roman"/>
          <w:b/>
          <w:bCs/>
          <w:color w:val="auto"/>
          <w:kern w:val="2"/>
          <w:sz w:val="24"/>
          <w:szCs w:val="24"/>
          <w:lang w:val="en-US" w:eastAsia="zh-CN" w:bidi="ar-SA"/>
        </w:rPr>
        <w:t>信息科学与工程学院2</w:t>
      </w:r>
      <w:r>
        <w:rPr>
          <w:rFonts w:hint="eastAsia" w:ascii="Times New Roman" w:hAnsi="Times New Roman" w:eastAsia="宋体" w:cs="Times New Roman"/>
          <w:b/>
          <w:bCs/>
          <w:color w:val="auto"/>
          <w:kern w:val="2"/>
          <w:sz w:val="24"/>
          <w:szCs w:val="24"/>
          <w:lang w:val="en-US" w:eastAsia="zh-CN" w:bidi="ar-SA"/>
        </w:rPr>
        <w:t>021</w:t>
      </w:r>
      <w:r>
        <w:rPr>
          <w:rFonts w:hint="default" w:ascii="Times New Roman" w:hAnsi="Times New Roman" w:eastAsia="宋体" w:cs="Times New Roman"/>
          <w:b/>
          <w:bCs/>
          <w:color w:val="auto"/>
          <w:kern w:val="2"/>
          <w:sz w:val="24"/>
          <w:szCs w:val="24"/>
          <w:lang w:val="en-US" w:eastAsia="zh-CN" w:bidi="ar-SA"/>
        </w:rPr>
        <w:t>届毕业生就业单位性质分布</w:t>
      </w:r>
    </w:p>
    <w:tbl>
      <w:tblPr>
        <w:tblStyle w:val="14"/>
        <w:tblW w:w="8385" w:type="dxa"/>
        <w:tblInd w:w="-147" w:type="dxa"/>
        <w:tblLayout w:type="autofit"/>
        <w:tblCellMar>
          <w:top w:w="0" w:type="dxa"/>
          <w:left w:w="108" w:type="dxa"/>
          <w:bottom w:w="0" w:type="dxa"/>
          <w:right w:w="108" w:type="dxa"/>
        </w:tblCellMar>
      </w:tblPr>
      <w:tblGrid>
        <w:gridCol w:w="790"/>
        <w:gridCol w:w="2700"/>
        <w:gridCol w:w="2422"/>
        <w:gridCol w:w="2473"/>
      </w:tblGrid>
      <w:tr>
        <w:tblPrEx>
          <w:tblCellMar>
            <w:top w:w="0" w:type="dxa"/>
            <w:left w:w="108" w:type="dxa"/>
            <w:bottom w:w="0" w:type="dxa"/>
            <w:right w:w="108" w:type="dxa"/>
          </w:tblCellMar>
        </w:tblPrEx>
        <w:trPr>
          <w:trHeight w:val="567" w:hRule="exact"/>
        </w:trPr>
        <w:tc>
          <w:tcPr>
            <w:tcW w:w="79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层次</w:t>
            </w: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单位性质</w:t>
            </w:r>
          </w:p>
        </w:tc>
        <w:tc>
          <w:tcPr>
            <w:tcW w:w="2422"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人数</w:t>
            </w:r>
          </w:p>
        </w:tc>
        <w:tc>
          <w:tcPr>
            <w:tcW w:w="247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rPr>
            </w:pPr>
            <w:r>
              <w:rPr>
                <w:rFonts w:hint="default" w:ascii="Times New Roman" w:hAnsi="Times New Roman" w:eastAsia="宋体" w:cs="Times New Roman"/>
                <w:b/>
                <w:color w:val="000000"/>
                <w:kern w:val="0"/>
                <w:sz w:val="22"/>
                <w:szCs w:val="22"/>
                <w:lang w:bidi="ar"/>
              </w:rPr>
              <w:t>百分比（%）</w:t>
            </w:r>
          </w:p>
        </w:tc>
      </w:tr>
      <w:tr>
        <w:tblPrEx>
          <w:tblCellMar>
            <w:top w:w="0" w:type="dxa"/>
            <w:left w:w="108" w:type="dxa"/>
            <w:bottom w:w="0" w:type="dxa"/>
            <w:right w:w="108" w:type="dxa"/>
          </w:tblCellMar>
        </w:tblPrEx>
        <w:trPr>
          <w:trHeight w:val="567" w:hRule="exact"/>
        </w:trPr>
        <w:tc>
          <w:tcPr>
            <w:tcW w:w="790" w:type="dxa"/>
            <w:vMerge w:val="restart"/>
            <w:tcBorders>
              <w:top w:val="single" w:color="000000" w:sz="4" w:space="0"/>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本</w:t>
            </w:r>
          </w:p>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科</w:t>
            </w:r>
          </w:p>
          <w:p>
            <w:pPr>
              <w:spacing w:line="240" w:lineRule="auto"/>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8"/>
                <w:szCs w:val="28"/>
                <w:lang w:bidi="ar"/>
              </w:rPr>
              <w:t>生</w:t>
            </w: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部队</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7</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2.15%</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地方基层项目</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0.92%</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国家基层项目</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0.61</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国有企业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57</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17.48</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其他教学单位</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4</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1.23</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其他企业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192</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58.90</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其他事业单位</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0.92%</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三资企业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4</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1.23%</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升学</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42</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12.88%</w:t>
            </w:r>
          </w:p>
        </w:tc>
      </w:tr>
      <w:tr>
        <w:tblPrEx>
          <w:tblCellMar>
            <w:top w:w="0" w:type="dxa"/>
            <w:left w:w="108" w:type="dxa"/>
            <w:bottom w:w="0" w:type="dxa"/>
            <w:right w:w="108" w:type="dxa"/>
          </w:tblCellMar>
        </w:tblPrEx>
        <w:trPr>
          <w:trHeight w:val="567" w:hRule="exact"/>
        </w:trPr>
        <w:tc>
          <w:tcPr>
            <w:tcW w:w="790" w:type="dxa"/>
            <w:vMerge w:val="restart"/>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医疗卫生单位</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0.31%</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自由职业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10</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3.07%</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自主创业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0.31%</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合计</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326</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100%</w:t>
            </w:r>
          </w:p>
        </w:tc>
      </w:tr>
    </w:tbl>
    <w:p>
      <w:pPr>
        <w:pStyle w:val="13"/>
        <w:spacing w:line="360" w:lineRule="auto"/>
        <w:jc w:val="both"/>
        <w:rPr>
          <w:rFonts w:hint="default" w:ascii="Times New Roman" w:hAnsi="Times New Roman" w:eastAsia="宋体" w:cs="Times New Roman"/>
          <w:kern w:val="2"/>
          <w:sz w:val="28"/>
          <w:szCs w:val="28"/>
        </w:rPr>
      </w:pPr>
      <w:r>
        <w:rPr>
          <w:rFonts w:hint="default" w:ascii="Times New Roman" w:hAnsi="Times New Roman" w:eastAsia="宋体" w:cs="Times New Roman"/>
          <w:color w:val="000000"/>
          <w:kern w:val="2"/>
          <w:sz w:val="21"/>
          <w:szCs w:val="22"/>
          <w:lang w:bidi="ar"/>
        </w:rPr>
        <w:t xml:space="preserve">    </w:t>
      </w:r>
    </w:p>
    <w:p>
      <w:pPr>
        <w:pStyle w:val="4"/>
        <w:numPr>
          <w:ilvl w:val="0"/>
          <w:numId w:val="2"/>
        </w:numPr>
        <w:spacing w:before="0" w:after="0" w:line="360" w:lineRule="auto"/>
        <w:rPr>
          <w:rFonts w:hint="eastAsia" w:ascii="Times New Roman" w:hAnsi="Times New Roman" w:eastAsia="宋体" w:cs="Times New Roman"/>
          <w:szCs w:val="22"/>
          <w:lang w:eastAsia="zh-CN"/>
        </w:rPr>
      </w:pPr>
      <w:bookmarkStart w:id="33" w:name="_Toc17164"/>
      <w:bookmarkStart w:id="34" w:name="_Toc23699"/>
      <w:bookmarkStart w:id="35" w:name="_Toc25688"/>
      <w:bookmarkStart w:id="36" w:name="_Toc7208"/>
      <w:bookmarkStart w:id="37" w:name="_Toc27753"/>
      <w:r>
        <w:rPr>
          <w:rFonts w:hint="eastAsia" w:ascii="Times New Roman" w:hAnsi="Times New Roman" w:eastAsia="宋体" w:cs="Times New Roman"/>
          <w:szCs w:val="22"/>
          <w:lang w:eastAsia="zh-CN"/>
        </w:rPr>
        <w:t>毕业生就业单位行业分析</w:t>
      </w:r>
    </w:p>
    <w:p>
      <w:pPr>
        <w:spacing w:line="360" w:lineRule="auto"/>
        <w:ind w:left="0" w:right="0" w:firstLine="64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按就业单位行业统计，我院2021届毕业生就业领域集中在</w:t>
      </w:r>
      <w:r>
        <w:rPr>
          <w:rFonts w:hint="default" w:ascii="Times New Roman" w:hAnsi="Times New Roman" w:eastAsia="宋体" w:cs="Times New Roman"/>
          <w:sz w:val="28"/>
          <w:szCs w:val="28"/>
          <w:lang w:val="en-US" w:eastAsia="zh-CN"/>
        </w:rPr>
        <w:t>信息传输、软件和信息技术服务业</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电力、热力、燃气及水生产</w:t>
      </w:r>
      <w:r>
        <w:rPr>
          <w:rFonts w:hint="eastAsia" w:ascii="Times New Roman" w:hAnsi="Times New Roman" w:eastAsia="宋体" w:cs="Times New Roman"/>
          <w:sz w:val="28"/>
          <w:szCs w:val="28"/>
          <w:lang w:val="en-US" w:eastAsia="zh-CN"/>
        </w:rPr>
        <w:t>、教育、制造业和建筑业，就业人数占88.96%，采矿业、公共管理、社会保障和社会组织、金融业、居民服务等行业人数占比较少，占就业人数的11.04%（表5）。</w:t>
      </w:r>
    </w:p>
    <w:p>
      <w:pPr>
        <w:spacing w:line="360" w:lineRule="auto"/>
        <w:ind w:right="0"/>
        <w:jc w:val="center"/>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表5  信息科学与工程学院2021届毕业生就业单位行业分析</w:t>
      </w:r>
    </w:p>
    <w:tbl>
      <w:tblPr>
        <w:tblStyle w:val="14"/>
        <w:tblW w:w="8385" w:type="dxa"/>
        <w:tblInd w:w="-147" w:type="dxa"/>
        <w:tblLayout w:type="autofit"/>
        <w:tblCellMar>
          <w:top w:w="0" w:type="dxa"/>
          <w:left w:w="108" w:type="dxa"/>
          <w:bottom w:w="0" w:type="dxa"/>
          <w:right w:w="108" w:type="dxa"/>
        </w:tblCellMar>
      </w:tblPr>
      <w:tblGrid>
        <w:gridCol w:w="790"/>
        <w:gridCol w:w="4061"/>
        <w:gridCol w:w="1680"/>
        <w:gridCol w:w="1854"/>
      </w:tblGrid>
      <w:tr>
        <w:tblPrEx>
          <w:tblCellMar>
            <w:top w:w="0" w:type="dxa"/>
            <w:left w:w="108" w:type="dxa"/>
            <w:bottom w:w="0" w:type="dxa"/>
            <w:right w:w="108" w:type="dxa"/>
          </w:tblCellMar>
        </w:tblPrEx>
        <w:trPr>
          <w:trHeight w:val="567" w:hRule="exact"/>
        </w:trPr>
        <w:tc>
          <w:tcPr>
            <w:tcW w:w="79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层次</w:t>
            </w: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kern w:val="0"/>
                <w:sz w:val="24"/>
                <w:lang w:eastAsia="zh-CN"/>
              </w:rPr>
            </w:pPr>
            <w:r>
              <w:rPr>
                <w:rFonts w:hint="default" w:ascii="Times New Roman" w:hAnsi="Times New Roman" w:eastAsia="宋体" w:cs="Times New Roman"/>
                <w:b/>
                <w:kern w:val="0"/>
                <w:sz w:val="24"/>
                <w:lang w:bidi="ar"/>
              </w:rPr>
              <w:t>单位</w:t>
            </w:r>
            <w:r>
              <w:rPr>
                <w:rFonts w:hint="eastAsia" w:ascii="Times New Roman" w:hAnsi="Times New Roman" w:eastAsia="宋体" w:cs="Times New Roman"/>
                <w:b/>
                <w:kern w:val="0"/>
                <w:sz w:val="24"/>
                <w:lang w:eastAsia="zh-CN" w:bidi="ar"/>
              </w:rPr>
              <w:t>行业</w:t>
            </w:r>
          </w:p>
        </w:tc>
        <w:tc>
          <w:tcPr>
            <w:tcW w:w="168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人数</w:t>
            </w:r>
          </w:p>
        </w:tc>
        <w:tc>
          <w:tcPr>
            <w:tcW w:w="1854"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rPr>
            </w:pPr>
            <w:r>
              <w:rPr>
                <w:rFonts w:hint="default" w:ascii="Times New Roman" w:hAnsi="Times New Roman" w:eastAsia="宋体" w:cs="Times New Roman"/>
                <w:b/>
                <w:color w:val="000000"/>
                <w:kern w:val="0"/>
                <w:sz w:val="22"/>
                <w:szCs w:val="22"/>
                <w:lang w:bidi="ar"/>
              </w:rPr>
              <w:t>百分比（%）</w:t>
            </w:r>
          </w:p>
        </w:tc>
      </w:tr>
      <w:tr>
        <w:tblPrEx>
          <w:tblCellMar>
            <w:top w:w="0" w:type="dxa"/>
            <w:left w:w="108" w:type="dxa"/>
            <w:bottom w:w="0" w:type="dxa"/>
            <w:right w:w="108" w:type="dxa"/>
          </w:tblCellMar>
        </w:tblPrEx>
        <w:trPr>
          <w:trHeight w:val="567" w:hRule="exact"/>
        </w:trPr>
        <w:tc>
          <w:tcPr>
            <w:tcW w:w="790" w:type="dxa"/>
            <w:vMerge w:val="restart"/>
            <w:tcBorders>
              <w:top w:val="single" w:color="000000" w:sz="4" w:space="0"/>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本</w:t>
            </w:r>
          </w:p>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科</w:t>
            </w:r>
          </w:p>
          <w:p>
            <w:pPr>
              <w:spacing w:line="240" w:lineRule="auto"/>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8"/>
                <w:szCs w:val="28"/>
                <w:lang w:bidi="ar"/>
              </w:rPr>
              <w:t>生</w:t>
            </w: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采矿业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0.92%</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电力、热力、燃气及水生产和供应业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28</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8.29</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公共管理、社会保障和社会组织</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4</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1.23</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建筑业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14</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4.29</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交通运输、仓储和邮政业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0.31</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教育</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56</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17.18</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金融业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6</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1.84%</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居民服务、修理和其他服务业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0.61%</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军队</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7</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2.15</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农、林、牧、渔业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0.31%</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批发和零售业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7</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2.15%</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水利、环境和公共设施管理业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0.31%</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卫生和社会工作</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0.92%</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文化、体育和娱乐业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0.31%</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信息传输、软件和信息技术服务业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170</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52.15%</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制造业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22</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6.75%</w:t>
            </w:r>
          </w:p>
        </w:tc>
      </w:tr>
      <w:tr>
        <w:tblPrEx>
          <w:tblCellMar>
            <w:top w:w="0" w:type="dxa"/>
            <w:left w:w="108" w:type="dxa"/>
            <w:bottom w:w="0" w:type="dxa"/>
            <w:right w:w="108" w:type="dxa"/>
          </w:tblCellMar>
        </w:tblPrEx>
        <w:trPr>
          <w:trHeight w:val="567" w:hRule="exact"/>
        </w:trPr>
        <w:tc>
          <w:tcPr>
            <w:tcW w:w="790" w:type="dxa"/>
            <w:tcBorders>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合计</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326</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100%</w:t>
            </w:r>
          </w:p>
        </w:tc>
      </w:tr>
    </w:tbl>
    <w:p>
      <w:pPr>
        <w:pStyle w:val="3"/>
        <w:shd w:val="clear"/>
        <w:spacing w:before="0" w:after="0" w:line="360" w:lineRule="auto"/>
        <w:rPr>
          <w:rFonts w:hint="default" w:ascii="Times New Roman" w:hAnsi="Times New Roman" w:eastAsia="宋体" w:cs="Times New Roman"/>
          <w:shd w:val="clear" w:color="auto" w:fill="auto"/>
        </w:rPr>
      </w:pPr>
      <w:r>
        <w:rPr>
          <w:rFonts w:hint="eastAsia" w:ascii="Times New Roman" w:hAnsi="Times New Roman" w:eastAsia="宋体" w:cs="Times New Roman"/>
          <w:sz w:val="28"/>
          <w:szCs w:val="22"/>
          <w:shd w:val="clear" w:color="auto" w:fill="auto"/>
          <w:lang w:val="en-US" w:eastAsia="zh-CN"/>
        </w:rPr>
        <w:t>5、</w:t>
      </w:r>
      <w:r>
        <w:rPr>
          <w:rFonts w:hint="default" w:ascii="Times New Roman" w:hAnsi="Times New Roman" w:eastAsia="宋体" w:cs="Times New Roman"/>
          <w:sz w:val="28"/>
          <w:szCs w:val="22"/>
          <w:shd w:val="clear" w:color="auto" w:fill="auto"/>
        </w:rPr>
        <w:t>毕业生地域流向</w:t>
      </w:r>
      <w:bookmarkEnd w:id="33"/>
      <w:bookmarkEnd w:id="34"/>
      <w:bookmarkEnd w:id="35"/>
      <w:bookmarkEnd w:id="36"/>
      <w:bookmarkEnd w:id="37"/>
    </w:p>
    <w:p>
      <w:pPr>
        <w:pStyle w:val="13"/>
        <w:keepNext w:val="0"/>
        <w:keepLines w:val="0"/>
        <w:pageBreakBefore w:val="0"/>
        <w:widowControl w:val="0"/>
        <w:shd w:val="clear"/>
        <w:kinsoku/>
        <w:wordWrap/>
        <w:overflowPunct/>
        <w:topLinePunct w:val="0"/>
        <w:autoSpaceDE/>
        <w:autoSpaceDN/>
        <w:bidi w:val="0"/>
        <w:adjustRightInd/>
        <w:snapToGrid/>
        <w:spacing w:line="560" w:lineRule="exact"/>
        <w:ind w:left="0" w:right="0" w:firstLine="56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kern w:val="2"/>
          <w:sz w:val="28"/>
          <w:szCs w:val="28"/>
          <w:lang w:bidi="ar"/>
        </w:rPr>
        <w:t>我院</w:t>
      </w:r>
      <w:r>
        <w:rPr>
          <w:rFonts w:hint="default" w:ascii="Times New Roman" w:hAnsi="Times New Roman" w:eastAsia="宋体" w:cs="Times New Roman"/>
          <w:kern w:val="2"/>
          <w:sz w:val="28"/>
          <w:szCs w:val="28"/>
          <w:lang w:val="en-US" w:eastAsia="zh-CN" w:bidi="ar"/>
        </w:rPr>
        <w:t>202</w:t>
      </w:r>
      <w:r>
        <w:rPr>
          <w:rFonts w:hint="eastAsia" w:ascii="Times New Roman" w:hAnsi="Times New Roman" w:eastAsia="宋体" w:cs="Times New Roman"/>
          <w:kern w:val="2"/>
          <w:sz w:val="28"/>
          <w:szCs w:val="28"/>
          <w:lang w:val="en-US" w:eastAsia="zh-CN" w:bidi="ar"/>
        </w:rPr>
        <w:t>1</w:t>
      </w:r>
      <w:r>
        <w:rPr>
          <w:rFonts w:hint="default" w:ascii="Times New Roman" w:hAnsi="Times New Roman" w:eastAsia="宋体" w:cs="Times New Roman"/>
          <w:kern w:val="2"/>
          <w:sz w:val="28"/>
          <w:szCs w:val="28"/>
          <w:lang w:bidi="ar"/>
        </w:rPr>
        <w:t>届毕业生地域流向最多的是中原区域经济体，</w:t>
      </w:r>
      <w:r>
        <w:rPr>
          <w:rFonts w:hint="default" w:ascii="Times New Roman" w:hAnsi="Times New Roman" w:eastAsia="宋体" w:cs="Times New Roman"/>
          <w:kern w:val="2"/>
          <w:sz w:val="28"/>
          <w:szCs w:val="28"/>
          <w:lang w:eastAsia="zh-CN" w:bidi="ar"/>
        </w:rPr>
        <w:t>人数为</w:t>
      </w:r>
      <w:r>
        <w:rPr>
          <w:rFonts w:hint="eastAsia" w:ascii="Times New Roman" w:hAnsi="Times New Roman" w:eastAsia="宋体" w:cs="Times New Roman"/>
          <w:kern w:val="2"/>
          <w:sz w:val="28"/>
          <w:szCs w:val="28"/>
          <w:lang w:val="en-US" w:eastAsia="zh-CN" w:bidi="ar"/>
        </w:rPr>
        <w:t>167</w:t>
      </w:r>
      <w:r>
        <w:rPr>
          <w:rFonts w:hint="default" w:ascii="Times New Roman" w:hAnsi="Times New Roman" w:eastAsia="宋体" w:cs="Times New Roman"/>
          <w:kern w:val="2"/>
          <w:sz w:val="28"/>
          <w:szCs w:val="28"/>
          <w:lang w:val="en-US" w:eastAsia="zh-CN" w:bidi="ar"/>
        </w:rPr>
        <w:t>人，</w:t>
      </w:r>
      <w:r>
        <w:rPr>
          <w:rFonts w:hint="default" w:ascii="Times New Roman" w:hAnsi="Times New Roman" w:eastAsia="宋体" w:cs="Times New Roman"/>
          <w:kern w:val="2"/>
          <w:sz w:val="28"/>
          <w:szCs w:val="28"/>
          <w:lang w:bidi="ar"/>
        </w:rPr>
        <w:t>占</w:t>
      </w:r>
      <w:r>
        <w:rPr>
          <w:rFonts w:hint="default" w:ascii="Times New Roman" w:hAnsi="Times New Roman" w:eastAsia="宋体" w:cs="Times New Roman"/>
          <w:kern w:val="2"/>
          <w:sz w:val="28"/>
          <w:szCs w:val="28"/>
          <w:lang w:eastAsia="zh-CN" w:bidi="ar"/>
        </w:rPr>
        <w:t>就业总人数的</w:t>
      </w:r>
      <w:r>
        <w:rPr>
          <w:rFonts w:hint="default" w:ascii="Times New Roman" w:hAnsi="Times New Roman" w:eastAsia="宋体" w:cs="Times New Roman"/>
          <w:kern w:val="2"/>
          <w:sz w:val="28"/>
          <w:szCs w:val="28"/>
          <w:lang w:val="en-US" w:eastAsia="zh-CN" w:bidi="ar"/>
        </w:rPr>
        <w:t>5</w:t>
      </w:r>
      <w:r>
        <w:rPr>
          <w:rFonts w:hint="eastAsia" w:ascii="Times New Roman" w:hAnsi="Times New Roman" w:eastAsia="宋体" w:cs="Times New Roman"/>
          <w:kern w:val="2"/>
          <w:sz w:val="28"/>
          <w:szCs w:val="28"/>
          <w:lang w:val="en-US" w:eastAsia="zh-CN" w:bidi="ar"/>
        </w:rPr>
        <w:t>1.23</w:t>
      </w:r>
      <w:r>
        <w:rPr>
          <w:rFonts w:hint="default" w:ascii="Times New Roman" w:hAnsi="Times New Roman" w:eastAsia="宋体" w:cs="Times New Roman"/>
          <w:kern w:val="2"/>
          <w:sz w:val="28"/>
          <w:szCs w:val="28"/>
          <w:lang w:bidi="ar"/>
        </w:rPr>
        <w:t>%；其次是泛珠江三角洲区域经济体，</w:t>
      </w:r>
      <w:r>
        <w:rPr>
          <w:rFonts w:hint="default" w:ascii="Times New Roman" w:hAnsi="Times New Roman" w:eastAsia="宋体" w:cs="Times New Roman"/>
          <w:kern w:val="2"/>
          <w:sz w:val="28"/>
          <w:szCs w:val="28"/>
          <w:lang w:eastAsia="zh-CN" w:bidi="ar"/>
        </w:rPr>
        <w:t>人数为</w:t>
      </w:r>
      <w:r>
        <w:rPr>
          <w:rFonts w:hint="default" w:ascii="Times New Roman" w:hAnsi="Times New Roman" w:eastAsia="宋体" w:cs="Times New Roman"/>
          <w:kern w:val="2"/>
          <w:sz w:val="28"/>
          <w:szCs w:val="28"/>
          <w:lang w:val="en-US" w:eastAsia="zh-CN" w:bidi="ar"/>
        </w:rPr>
        <w:t>6</w:t>
      </w:r>
      <w:r>
        <w:rPr>
          <w:rFonts w:hint="eastAsia" w:ascii="Times New Roman" w:hAnsi="Times New Roman" w:eastAsia="宋体" w:cs="Times New Roman"/>
          <w:kern w:val="2"/>
          <w:sz w:val="28"/>
          <w:szCs w:val="28"/>
          <w:lang w:val="en-US" w:eastAsia="zh-CN" w:bidi="ar"/>
        </w:rPr>
        <w:t>6</w:t>
      </w:r>
      <w:r>
        <w:rPr>
          <w:rFonts w:hint="default" w:ascii="Times New Roman" w:hAnsi="Times New Roman" w:eastAsia="宋体" w:cs="Times New Roman"/>
          <w:kern w:val="2"/>
          <w:sz w:val="28"/>
          <w:szCs w:val="28"/>
          <w:lang w:val="en-US" w:eastAsia="zh-CN" w:bidi="ar"/>
        </w:rPr>
        <w:t>人，</w:t>
      </w:r>
      <w:r>
        <w:rPr>
          <w:rFonts w:hint="default" w:ascii="Times New Roman" w:hAnsi="Times New Roman" w:eastAsia="宋体" w:cs="Times New Roman"/>
          <w:kern w:val="2"/>
          <w:sz w:val="28"/>
          <w:szCs w:val="28"/>
          <w:lang w:bidi="ar"/>
        </w:rPr>
        <w:t>占</w:t>
      </w:r>
      <w:r>
        <w:rPr>
          <w:rFonts w:hint="default" w:ascii="Times New Roman" w:hAnsi="Times New Roman" w:eastAsia="宋体" w:cs="Times New Roman"/>
          <w:kern w:val="2"/>
          <w:sz w:val="28"/>
          <w:szCs w:val="28"/>
          <w:lang w:eastAsia="zh-CN" w:bidi="ar"/>
        </w:rPr>
        <w:t>就业总人数的</w:t>
      </w:r>
      <w:r>
        <w:rPr>
          <w:rFonts w:hint="eastAsia" w:ascii="Times New Roman" w:hAnsi="Times New Roman" w:eastAsia="宋体" w:cs="Times New Roman"/>
          <w:kern w:val="2"/>
          <w:sz w:val="28"/>
          <w:szCs w:val="28"/>
          <w:lang w:val="en-US" w:eastAsia="zh-CN" w:bidi="ar"/>
        </w:rPr>
        <w:t>20.25</w:t>
      </w:r>
      <w:r>
        <w:rPr>
          <w:rFonts w:hint="default" w:ascii="Times New Roman" w:hAnsi="Times New Roman" w:eastAsia="宋体" w:cs="Times New Roman"/>
          <w:kern w:val="2"/>
          <w:sz w:val="28"/>
          <w:szCs w:val="28"/>
          <w:lang w:bidi="ar"/>
        </w:rPr>
        <w:t>%</w:t>
      </w:r>
      <w:r>
        <w:rPr>
          <w:rFonts w:hint="default" w:ascii="Times New Roman" w:hAnsi="Times New Roman" w:eastAsia="宋体" w:cs="Times New Roman"/>
          <w:kern w:val="2"/>
          <w:sz w:val="28"/>
          <w:szCs w:val="28"/>
          <w:lang w:eastAsia="zh-CN" w:bidi="ar"/>
        </w:rPr>
        <w:t>，最后依次是</w:t>
      </w:r>
      <w:r>
        <w:rPr>
          <w:rFonts w:hint="default" w:ascii="Times New Roman" w:hAnsi="Times New Roman" w:eastAsia="宋体" w:cs="Times New Roman"/>
          <w:kern w:val="0"/>
          <w:sz w:val="28"/>
          <w:szCs w:val="28"/>
          <w:lang w:bidi="ar"/>
        </w:rPr>
        <w:t>泛长江三角洲区域经济体</w:t>
      </w:r>
      <w:r>
        <w:rPr>
          <w:rFonts w:hint="default" w:ascii="Times New Roman" w:hAnsi="Times New Roman" w:eastAsia="宋体" w:cs="Times New Roman"/>
          <w:kern w:val="0"/>
          <w:sz w:val="28"/>
          <w:szCs w:val="28"/>
          <w:lang w:eastAsia="zh-CN" w:bidi="ar"/>
        </w:rPr>
        <w:t>、</w:t>
      </w:r>
      <w:r>
        <w:rPr>
          <w:rFonts w:hint="default" w:ascii="Times New Roman" w:hAnsi="Times New Roman" w:eastAsia="宋体" w:cs="Times New Roman"/>
          <w:kern w:val="0"/>
          <w:sz w:val="28"/>
          <w:szCs w:val="28"/>
          <w:lang w:bidi="ar"/>
        </w:rPr>
        <w:t>泛渤海湾区域经济体</w:t>
      </w:r>
      <w:r>
        <w:rPr>
          <w:rFonts w:hint="default" w:ascii="Times New Roman" w:hAnsi="Times New Roman" w:eastAsia="宋体" w:cs="Times New Roman"/>
          <w:kern w:val="0"/>
          <w:sz w:val="28"/>
          <w:szCs w:val="28"/>
          <w:lang w:eastAsia="zh-CN" w:bidi="ar"/>
        </w:rPr>
        <w:t>、</w:t>
      </w:r>
      <w:r>
        <w:rPr>
          <w:rFonts w:hint="default" w:ascii="Times New Roman" w:hAnsi="Times New Roman" w:eastAsia="宋体" w:cs="Times New Roman"/>
          <w:kern w:val="0"/>
          <w:sz w:val="28"/>
          <w:szCs w:val="28"/>
          <w:lang w:bidi="ar"/>
        </w:rPr>
        <w:t>西南区域经济体</w:t>
      </w:r>
      <w:r>
        <w:rPr>
          <w:rFonts w:hint="default" w:ascii="Times New Roman" w:hAnsi="Times New Roman" w:eastAsia="宋体" w:cs="Times New Roman"/>
          <w:kern w:val="0"/>
          <w:sz w:val="28"/>
          <w:szCs w:val="28"/>
          <w:lang w:eastAsia="zh-CN" w:bidi="ar"/>
        </w:rPr>
        <w:t>等（表</w:t>
      </w:r>
      <w:r>
        <w:rPr>
          <w:rFonts w:hint="eastAsia" w:ascii="Times New Roman" w:hAnsi="Times New Roman" w:eastAsia="宋体" w:cs="Times New Roman"/>
          <w:kern w:val="0"/>
          <w:sz w:val="28"/>
          <w:szCs w:val="28"/>
          <w:lang w:val="en-US" w:eastAsia="zh-CN" w:bidi="ar"/>
        </w:rPr>
        <w:t>6</w:t>
      </w:r>
      <w:r>
        <w:rPr>
          <w:rFonts w:hint="default" w:ascii="Times New Roman" w:hAnsi="Times New Roman" w:eastAsia="宋体" w:cs="Times New Roman"/>
          <w:kern w:val="0"/>
          <w:sz w:val="28"/>
          <w:szCs w:val="28"/>
          <w:lang w:eastAsia="zh-CN" w:bidi="ar"/>
        </w:rPr>
        <w:t>）</w:t>
      </w:r>
      <w:r>
        <w:rPr>
          <w:rFonts w:hint="default" w:ascii="Times New Roman" w:hAnsi="Times New Roman" w:eastAsia="宋体" w:cs="Times New Roman"/>
          <w:kern w:val="2"/>
          <w:sz w:val="28"/>
          <w:szCs w:val="28"/>
          <w:lang w:bidi="ar"/>
        </w:rPr>
        <w:t>。</w:t>
      </w:r>
    </w:p>
    <w:p>
      <w:pPr>
        <w:pStyle w:val="13"/>
        <w:spacing w:line="560" w:lineRule="exact"/>
        <w:ind w:right="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 xml:space="preserve">6  </w:t>
      </w:r>
      <w:r>
        <w:rPr>
          <w:rFonts w:hint="default" w:ascii="Times New Roman" w:hAnsi="Times New Roman" w:eastAsia="宋体" w:cs="Times New Roman"/>
          <w:b/>
          <w:bCs/>
          <w:color w:val="auto"/>
          <w:kern w:val="2"/>
          <w:sz w:val="24"/>
          <w:szCs w:val="24"/>
          <w:lang w:val="en-US" w:eastAsia="zh-CN" w:bidi="ar-SA"/>
        </w:rPr>
        <w:t>信息科学与工程学院20</w:t>
      </w:r>
      <w:r>
        <w:rPr>
          <w:rFonts w:hint="eastAsia" w:ascii="Times New Roman" w:hAnsi="Times New Roman" w:eastAsia="宋体" w:cs="Times New Roman"/>
          <w:b/>
          <w:bCs/>
          <w:color w:val="auto"/>
          <w:kern w:val="2"/>
          <w:sz w:val="24"/>
          <w:szCs w:val="24"/>
          <w:lang w:val="en-US" w:eastAsia="zh-CN" w:bidi="ar-SA"/>
        </w:rPr>
        <w:t>21</w:t>
      </w:r>
      <w:r>
        <w:rPr>
          <w:rFonts w:hint="default" w:ascii="Times New Roman" w:hAnsi="Times New Roman" w:eastAsia="宋体" w:cs="Times New Roman"/>
          <w:b/>
          <w:bCs/>
          <w:color w:val="auto"/>
          <w:kern w:val="2"/>
          <w:sz w:val="24"/>
          <w:szCs w:val="24"/>
          <w:lang w:val="en-US" w:eastAsia="zh-CN" w:bidi="ar-SA"/>
        </w:rPr>
        <w:t>届毕业生就业地域流向</w:t>
      </w:r>
    </w:p>
    <w:tbl>
      <w:tblPr>
        <w:tblStyle w:val="14"/>
        <w:tblW w:w="8888" w:type="dxa"/>
        <w:jc w:val="center"/>
        <w:tblLayout w:type="fixed"/>
        <w:tblCellMar>
          <w:top w:w="0" w:type="dxa"/>
          <w:left w:w="108" w:type="dxa"/>
          <w:bottom w:w="0" w:type="dxa"/>
          <w:right w:w="108" w:type="dxa"/>
        </w:tblCellMar>
      </w:tblPr>
      <w:tblGrid>
        <w:gridCol w:w="1200"/>
        <w:gridCol w:w="3953"/>
        <w:gridCol w:w="1879"/>
        <w:gridCol w:w="1856"/>
      </w:tblGrid>
      <w:tr>
        <w:tblPrEx>
          <w:tblCellMar>
            <w:top w:w="0" w:type="dxa"/>
            <w:left w:w="108" w:type="dxa"/>
            <w:bottom w:w="0" w:type="dxa"/>
            <w:right w:w="108" w:type="dxa"/>
          </w:tblCellMar>
        </w:tblPrEx>
        <w:trPr>
          <w:trHeight w:val="567"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学历层次</w:t>
            </w:r>
          </w:p>
        </w:tc>
        <w:tc>
          <w:tcPr>
            <w:tcW w:w="3953"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地域名称</w:t>
            </w:r>
          </w:p>
        </w:tc>
        <w:tc>
          <w:tcPr>
            <w:tcW w:w="1879" w:type="dxa"/>
            <w:tcBorders>
              <w:top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人数</w:t>
            </w:r>
          </w:p>
        </w:tc>
        <w:tc>
          <w:tcPr>
            <w:tcW w:w="1856" w:type="dxa"/>
            <w:tcBorders>
              <w:top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比率（%）</w:t>
            </w:r>
          </w:p>
        </w:tc>
      </w:tr>
      <w:tr>
        <w:tblPrEx>
          <w:tblCellMar>
            <w:top w:w="0" w:type="dxa"/>
            <w:left w:w="108" w:type="dxa"/>
            <w:bottom w:w="0" w:type="dxa"/>
            <w:right w:w="108" w:type="dxa"/>
          </w:tblCellMar>
        </w:tblPrEx>
        <w:trPr>
          <w:trHeight w:val="567" w:hRule="atLeast"/>
          <w:jc w:val="center"/>
        </w:trPr>
        <w:tc>
          <w:tcPr>
            <w:tcW w:w="1200"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bidi="ar"/>
              </w:rPr>
              <w:t>本</w:t>
            </w:r>
          </w:p>
          <w:p>
            <w:pPr>
              <w:spacing w:line="24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bidi="ar"/>
              </w:rPr>
              <w:t>科</w:t>
            </w:r>
          </w:p>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bidi="ar"/>
              </w:rPr>
              <w:t>生</w:t>
            </w: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中原区域经济体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167</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51.23</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泛珠江三角洲区域经济体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66</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20.25</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bidi="ar"/>
              </w:rPr>
              <w:t>泛长江三角洲区域经济体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28</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8.59</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bidi="ar"/>
              </w:rPr>
              <w:t>泛渤海湾区域经济体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14</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4.29</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西南区域经济体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10</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3.06</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西部生态经济区</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7</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2.15</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rPr>
              <w:t>泛东北区域经济体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0.61</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bidi="ar"/>
              </w:rPr>
              <w:t>陕甘宁青区域经济体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3</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0.92</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其他</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29</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color w:val="000000"/>
                <w:kern w:val="0"/>
                <w:sz w:val="24"/>
                <w:szCs w:val="24"/>
                <w:lang w:val="en-US" w:eastAsia="zh-CN"/>
              </w:rPr>
            </w:pPr>
            <w:r>
              <w:rPr>
                <w:rFonts w:hint="eastAsia" w:ascii="Times New Roman" w:hAnsi="Times New Roman" w:eastAsia="宋体" w:cs="Times New Roman"/>
                <w:b w:val="0"/>
                <w:bCs/>
                <w:kern w:val="0"/>
                <w:sz w:val="24"/>
                <w:szCs w:val="24"/>
                <w:lang w:val="en-US" w:eastAsia="zh-CN" w:bidi="ar"/>
              </w:rPr>
              <w:t>8.90</w:t>
            </w:r>
            <w:r>
              <w:rPr>
                <w:rFonts w:hint="default" w:ascii="Times New Roman" w:hAnsi="Times New Roman" w:eastAsia="宋体" w:cs="Times New Roman"/>
                <w:b w:val="0"/>
                <w:bCs/>
                <w:kern w:val="0"/>
                <w:sz w:val="24"/>
                <w:szCs w:val="24"/>
                <w:lang w:bidi="ar"/>
              </w:rPr>
              <w:t>%</w:t>
            </w:r>
          </w:p>
        </w:tc>
      </w:tr>
    </w:tbl>
    <w:p>
      <w:pPr>
        <w:tabs>
          <w:tab w:val="left" w:pos="6451"/>
        </w:tabs>
        <w:jc w:val="left"/>
        <w:rPr>
          <w:rFonts w:hint="default" w:ascii="Times New Roman" w:hAnsi="Times New Roman" w:eastAsia="宋体" w:cs="Times New Roman"/>
        </w:rPr>
      </w:pPr>
      <w:r>
        <w:rPr>
          <w:rFonts w:hint="default" w:ascii="Times New Roman" w:hAnsi="Times New Roman" w:eastAsia="宋体" w:cs="Times New Roman"/>
          <w:spacing w:val="-2"/>
          <w:sz w:val="18"/>
          <w:szCs w:val="18"/>
          <w:lang w:bidi="ar"/>
        </w:rPr>
        <w:t>注：本报告按八大区域经济体划分毕业生地域流向，分别是中原区域经济体（河南、湖北、湖南）、泛珠江三角洲区域经济体（广东、广西、福建、海南）、泛长江三角洲区域经济体（上海、江苏、浙江、江西、安徽）、泛渤海湾区域经济体（北京、天津、山东、河北、内蒙古、山西）、西南区域经济体（重庆、四川、贵州、云南）、西部生态经济区（西藏、新疆）、泛东北区域经济体（黑龙江、吉林、辽</w:t>
      </w:r>
      <w:r>
        <w:rPr>
          <w:rFonts w:hint="eastAsia" w:ascii="Times New Roman" w:hAnsi="Times New Roman" w:eastAsia="宋体" w:cs="Times New Roman"/>
          <w:spacing w:val="-2"/>
          <w:sz w:val="18"/>
          <w:szCs w:val="18"/>
          <w:lang w:eastAsia="zh-CN" w:bidi="ar"/>
        </w:rPr>
        <w:t>宁</w:t>
      </w:r>
      <w:r>
        <w:rPr>
          <w:rFonts w:hint="default" w:ascii="Times New Roman" w:hAnsi="Times New Roman" w:eastAsia="宋体" w:cs="Times New Roman"/>
          <w:spacing w:val="-2"/>
          <w:sz w:val="18"/>
          <w:szCs w:val="18"/>
          <w:lang w:bidi="ar"/>
        </w:rPr>
        <w:t>）、陕甘宁青区域经济体（陕西、甘肃、宁夏、青海）。</w:t>
      </w:r>
    </w:p>
    <w:p>
      <w:pPr>
        <w:pStyle w:val="3"/>
        <w:numPr>
          <w:ilvl w:val="0"/>
          <w:numId w:val="0"/>
        </w:numPr>
        <w:shd w:val="clear"/>
        <w:spacing w:before="0" w:after="0" w:line="360" w:lineRule="auto"/>
        <w:ind w:leftChars="0" w:right="0" w:rightChars="0"/>
        <w:rPr>
          <w:rFonts w:hint="default" w:ascii="Times New Roman" w:hAnsi="Times New Roman" w:eastAsia="宋体" w:cs="Times New Roman"/>
          <w:sz w:val="28"/>
          <w:szCs w:val="28"/>
          <w:shd w:val="clear" w:color="auto" w:fill="auto"/>
        </w:rPr>
      </w:pPr>
      <w:r>
        <w:rPr>
          <w:rFonts w:hint="eastAsia" w:ascii="Times New Roman" w:hAnsi="Times New Roman" w:eastAsia="宋体" w:cs="Times New Roman"/>
          <w:sz w:val="28"/>
          <w:szCs w:val="28"/>
          <w:shd w:val="clear" w:color="auto" w:fill="auto"/>
          <w:lang w:val="en-US" w:eastAsia="zh-CN"/>
        </w:rPr>
        <w:t>6、</w:t>
      </w:r>
      <w:r>
        <w:rPr>
          <w:rFonts w:hint="default" w:ascii="Times New Roman" w:hAnsi="Times New Roman" w:eastAsia="宋体" w:cs="Times New Roman"/>
          <w:sz w:val="28"/>
          <w:szCs w:val="28"/>
          <w:shd w:val="clear" w:color="auto" w:fill="auto"/>
        </w:rPr>
        <w:t>毕业生</w:t>
      </w:r>
      <w:r>
        <w:rPr>
          <w:rFonts w:hint="eastAsia" w:ascii="Times New Roman" w:hAnsi="Times New Roman" w:eastAsia="宋体" w:cs="Times New Roman"/>
          <w:sz w:val="28"/>
          <w:szCs w:val="28"/>
          <w:shd w:val="clear" w:color="auto" w:fill="auto"/>
          <w:lang w:eastAsia="zh-CN"/>
        </w:rPr>
        <w:t>继续深造情况</w:t>
      </w:r>
    </w:p>
    <w:p>
      <w:pPr>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我院</w:t>
      </w:r>
      <w:r>
        <w:rPr>
          <w:rFonts w:hint="default" w:ascii="Times New Roman" w:hAnsi="Times New Roman" w:eastAsia="宋体" w:cs="Times New Roman"/>
          <w:sz w:val="28"/>
          <w:szCs w:val="28"/>
          <w:lang w:val="en-US" w:eastAsia="zh-CN"/>
        </w:rPr>
        <w:t>202</w:t>
      </w:r>
      <w:r>
        <w:rPr>
          <w:rFonts w:hint="eastAsia"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val="en-US" w:eastAsia="zh-CN"/>
        </w:rPr>
        <w:t>届毕业生</w:t>
      </w:r>
      <w:r>
        <w:rPr>
          <w:rFonts w:hint="eastAsia" w:ascii="Times New Roman" w:hAnsi="Times New Roman" w:eastAsia="宋体" w:cs="Times New Roman"/>
          <w:sz w:val="28"/>
          <w:szCs w:val="28"/>
          <w:lang w:val="en-US" w:eastAsia="zh-CN"/>
        </w:rPr>
        <w:t>总人数为360人，</w:t>
      </w:r>
      <w:r>
        <w:rPr>
          <w:rFonts w:hint="default" w:ascii="Times New Roman" w:hAnsi="Times New Roman" w:eastAsia="宋体" w:cs="Times New Roman"/>
          <w:sz w:val="28"/>
          <w:szCs w:val="28"/>
          <w:lang w:val="en-US" w:eastAsia="zh-CN"/>
        </w:rPr>
        <w:t>继续深造</w:t>
      </w:r>
      <w:r>
        <w:rPr>
          <w:rFonts w:hint="eastAsia" w:ascii="Times New Roman" w:hAnsi="Times New Roman" w:eastAsia="宋体" w:cs="Times New Roman"/>
          <w:sz w:val="28"/>
          <w:szCs w:val="28"/>
          <w:lang w:val="en-US" w:eastAsia="zh-CN"/>
        </w:rPr>
        <w:t>报考率接近1/3，其中升学</w:t>
      </w:r>
      <w:r>
        <w:rPr>
          <w:rFonts w:hint="default" w:ascii="Times New Roman" w:hAnsi="Times New Roman" w:eastAsia="宋体" w:cs="Times New Roman"/>
          <w:sz w:val="28"/>
          <w:szCs w:val="28"/>
          <w:lang w:val="en-US" w:eastAsia="zh-CN"/>
        </w:rPr>
        <w:t>人数</w:t>
      </w:r>
      <w:r>
        <w:rPr>
          <w:rFonts w:hint="eastAsia" w:ascii="Times New Roman" w:hAnsi="Times New Roman" w:eastAsia="宋体" w:cs="Times New Roman"/>
          <w:sz w:val="28"/>
          <w:szCs w:val="28"/>
          <w:lang w:val="en-US" w:eastAsia="zh-CN"/>
        </w:rPr>
        <w:t>为</w:t>
      </w:r>
      <w:r>
        <w:rPr>
          <w:rFonts w:hint="default"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val="en-US" w:eastAsia="zh-CN"/>
        </w:rPr>
        <w:t>人，占毕业生总人数的11.</w:t>
      </w:r>
      <w:r>
        <w:rPr>
          <w:rFonts w:hint="eastAsia" w:ascii="Times New Roman" w:hAnsi="Times New Roman" w:eastAsia="宋体" w:cs="Times New Roman"/>
          <w:sz w:val="28"/>
          <w:szCs w:val="28"/>
          <w:lang w:val="en-US" w:eastAsia="zh-CN"/>
        </w:rPr>
        <w:t>67</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。（图4）</w:t>
      </w:r>
      <w:r>
        <w:rPr>
          <w:rFonts w:hint="default" w:ascii="Times New Roman" w:hAnsi="Times New Roman" w:eastAsia="宋体" w:cs="Times New Roman"/>
          <w:sz w:val="28"/>
          <w:szCs w:val="28"/>
          <w:lang w:val="en-US" w:eastAsia="zh-CN"/>
        </w:rPr>
        <w:t>。</w:t>
      </w:r>
    </w:p>
    <w:p>
      <w:pPr>
        <w:pStyle w:val="2"/>
        <w:jc w:val="center"/>
        <w:rPr>
          <w:rFonts w:hint="default" w:ascii="Times New Roman" w:hAnsi="Times New Roman" w:eastAsia="宋体" w:cs="Times New Roman"/>
        </w:rPr>
      </w:pPr>
      <w:bookmarkStart w:id="38" w:name="_Toc9520"/>
      <w:bookmarkStart w:id="39" w:name="_Toc4531"/>
      <w:bookmarkStart w:id="40" w:name="_Toc9325"/>
      <w:bookmarkStart w:id="41" w:name="_Toc19895"/>
      <w:r>
        <w:drawing>
          <wp:inline distT="0" distB="0" distL="114300" distR="114300">
            <wp:extent cx="4572000" cy="2743200"/>
            <wp:effectExtent l="4445" t="4445" r="14605" b="52705"/>
            <wp:docPr id="11" name="图表 5"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2"/>
        <w:numPr>
          <w:ilvl w:val="0"/>
          <w:numId w:val="3"/>
        </w:num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毕业生就业趋势变化</w:t>
      </w:r>
      <w:bookmarkEnd w:id="38"/>
      <w:bookmarkEnd w:id="39"/>
      <w:bookmarkEnd w:id="40"/>
      <w:bookmarkEnd w:id="41"/>
    </w:p>
    <w:p>
      <w:pPr>
        <w:pStyle w:val="4"/>
        <w:numPr>
          <w:ilvl w:val="0"/>
          <w:numId w:val="0"/>
        </w:numPr>
        <w:spacing w:before="0" w:after="0" w:line="360" w:lineRule="auto"/>
        <w:ind w:leftChars="0" w:right="0" w:rightChars="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1、2021届与2020届</w:t>
      </w:r>
      <w:r>
        <w:rPr>
          <w:rFonts w:hint="default" w:ascii="Times New Roman" w:hAnsi="Times New Roman" w:eastAsia="宋体" w:cs="Times New Roman"/>
        </w:rPr>
        <w:t>毕业生各专业就业率</w:t>
      </w:r>
      <w:r>
        <w:rPr>
          <w:rFonts w:hint="eastAsia" w:ascii="Times New Roman" w:hAnsi="Times New Roman" w:eastAsia="宋体" w:cs="Times New Roman"/>
          <w:lang w:eastAsia="zh-CN"/>
        </w:rPr>
        <w:t>对比分析</w:t>
      </w:r>
    </w:p>
    <w:p>
      <w:pPr>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560" w:firstLineChars="200"/>
        <w:textAlignment w:val="auto"/>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近两年受疫情影响，我院毕业生就业率较往年相比有所下降。整体而言，2021届毕业生就</w:t>
      </w:r>
      <w:bookmarkStart w:id="60" w:name="_GoBack"/>
      <w:bookmarkEnd w:id="60"/>
      <w:r>
        <w:rPr>
          <w:rFonts w:hint="eastAsia" w:ascii="Times New Roman" w:hAnsi="Times New Roman" w:eastAsia="宋体" w:cs="Times New Roman"/>
          <w:color w:val="auto"/>
          <w:kern w:val="2"/>
          <w:sz w:val="28"/>
          <w:szCs w:val="28"/>
          <w:lang w:val="en-US" w:eastAsia="zh-CN" w:bidi="ar-SA"/>
        </w:rPr>
        <w:t>2020届毕业生相比，就业率有所提升。其中，2021届电子信息工程专业、通信工程专业、计算机科学与技术专业的毕业生就业率相比2020届毕业生有所提升；但电气工程及其自动化专业2021届毕业生较2020届毕业生相比就业率有所下降，主要原因为2021届电气工程及其自动化专业部分毕业生想继续深造，参加2021年研究生考试导致（表7）。</w:t>
      </w:r>
    </w:p>
    <w:p>
      <w:pPr>
        <w:pStyle w:val="24"/>
        <w:widowControl/>
        <w:spacing w:line="360" w:lineRule="auto"/>
        <w:ind w:left="0" w:right="0"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cs="Times New Roman"/>
          <w:b/>
          <w:bCs/>
          <w:color w:val="auto"/>
          <w:kern w:val="2"/>
          <w:sz w:val="24"/>
          <w:szCs w:val="24"/>
          <w:lang w:val="en-US" w:eastAsia="zh-CN" w:bidi="ar-SA"/>
        </w:rPr>
        <w:t>7</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信息科学与工程学院20</w:t>
      </w:r>
      <w:r>
        <w:rPr>
          <w:rFonts w:hint="eastAsia" w:ascii="Times New Roman" w:hAnsi="Times New Roman" w:cs="Times New Roman"/>
          <w:b/>
          <w:bCs/>
          <w:color w:val="auto"/>
          <w:kern w:val="2"/>
          <w:sz w:val="24"/>
          <w:szCs w:val="24"/>
          <w:lang w:val="en-US" w:eastAsia="zh-CN" w:bidi="ar-SA"/>
        </w:rPr>
        <w:t>21</w:t>
      </w:r>
      <w:r>
        <w:rPr>
          <w:rFonts w:hint="eastAsia" w:ascii="Times New Roman" w:hAnsi="Times New Roman" w:eastAsia="宋体" w:cs="Times New Roman"/>
          <w:b/>
          <w:bCs/>
          <w:color w:val="auto"/>
          <w:kern w:val="2"/>
          <w:sz w:val="24"/>
          <w:szCs w:val="24"/>
          <w:lang w:val="en-US" w:eastAsia="zh-CN" w:bidi="ar-SA"/>
        </w:rPr>
        <w:t>届与202</w:t>
      </w:r>
      <w:r>
        <w:rPr>
          <w:rFonts w:hint="eastAsia" w:ascii="Times New Roman" w:hAnsi="Times New Roman" w:cs="Times New Roman"/>
          <w:b/>
          <w:bCs/>
          <w:color w:val="auto"/>
          <w:kern w:val="2"/>
          <w:sz w:val="24"/>
          <w:szCs w:val="24"/>
          <w:lang w:val="en-US" w:eastAsia="zh-CN" w:bidi="ar-SA"/>
        </w:rPr>
        <w:t>0</w:t>
      </w:r>
      <w:r>
        <w:rPr>
          <w:rFonts w:hint="eastAsia" w:ascii="Times New Roman" w:hAnsi="Times New Roman" w:eastAsia="宋体" w:cs="Times New Roman"/>
          <w:b/>
          <w:bCs/>
          <w:color w:val="auto"/>
          <w:kern w:val="2"/>
          <w:sz w:val="24"/>
          <w:szCs w:val="24"/>
          <w:lang w:val="en-US" w:eastAsia="zh-CN" w:bidi="ar-SA"/>
        </w:rPr>
        <w:t>届</w:t>
      </w:r>
      <w:r>
        <w:rPr>
          <w:rFonts w:hint="default" w:ascii="Times New Roman" w:hAnsi="Times New Roman" w:eastAsia="宋体" w:cs="Times New Roman"/>
          <w:b/>
          <w:bCs/>
          <w:color w:val="auto"/>
          <w:kern w:val="2"/>
          <w:sz w:val="24"/>
          <w:szCs w:val="24"/>
          <w:lang w:val="en-US" w:eastAsia="zh-CN" w:bidi="ar-SA"/>
        </w:rPr>
        <w:t>毕业生各专业就业率</w:t>
      </w:r>
      <w:r>
        <w:rPr>
          <w:rFonts w:hint="eastAsia" w:ascii="Times New Roman" w:hAnsi="Times New Roman" w:eastAsia="宋体" w:cs="Times New Roman"/>
          <w:b/>
          <w:bCs/>
          <w:color w:val="auto"/>
          <w:kern w:val="2"/>
          <w:sz w:val="24"/>
          <w:szCs w:val="24"/>
          <w:lang w:val="en-US" w:eastAsia="zh-CN" w:bidi="ar-SA"/>
        </w:rPr>
        <w:t>对比分析</w:t>
      </w:r>
    </w:p>
    <w:tbl>
      <w:tblPr>
        <w:tblStyle w:val="14"/>
        <w:tblW w:w="9359" w:type="dxa"/>
        <w:jc w:val="center"/>
        <w:shd w:val="clear" w:color="auto" w:fill="FFFFFF" w:themeFill="background1"/>
        <w:tblLayout w:type="autofit"/>
        <w:tblCellMar>
          <w:top w:w="0" w:type="dxa"/>
          <w:left w:w="108" w:type="dxa"/>
          <w:bottom w:w="0" w:type="dxa"/>
          <w:right w:w="108" w:type="dxa"/>
        </w:tblCellMar>
      </w:tblPr>
      <w:tblGrid>
        <w:gridCol w:w="2423"/>
        <w:gridCol w:w="1000"/>
        <w:gridCol w:w="897"/>
        <w:gridCol w:w="1125"/>
        <w:gridCol w:w="1035"/>
        <w:gridCol w:w="960"/>
        <w:gridCol w:w="1080"/>
        <w:gridCol w:w="839"/>
      </w:tblGrid>
      <w:tr>
        <w:tblPrEx>
          <w:shd w:val="clear" w:color="auto" w:fill="FFFFFF" w:themeFill="background1"/>
          <w:tblCellMar>
            <w:top w:w="0" w:type="dxa"/>
            <w:left w:w="108" w:type="dxa"/>
            <w:bottom w:w="0" w:type="dxa"/>
            <w:right w:w="108" w:type="dxa"/>
          </w:tblCellMar>
        </w:tblPrEx>
        <w:trPr>
          <w:trHeight w:val="485" w:hRule="atLeast"/>
          <w:jc w:val="center"/>
        </w:trPr>
        <w:tc>
          <w:tcPr>
            <w:tcW w:w="2423"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专业名称</w:t>
            </w:r>
          </w:p>
        </w:tc>
        <w:tc>
          <w:tcPr>
            <w:tcW w:w="3022" w:type="dxa"/>
            <w:gridSpan w:val="3"/>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2020届</w:t>
            </w:r>
          </w:p>
        </w:tc>
        <w:tc>
          <w:tcPr>
            <w:tcW w:w="3075" w:type="dxa"/>
            <w:gridSpan w:val="3"/>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2021届</w:t>
            </w:r>
          </w:p>
        </w:tc>
        <w:tc>
          <w:tcPr>
            <w:tcW w:w="839"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widowControl/>
              <w:spacing w:line="240" w:lineRule="auto"/>
              <w:jc w:val="center"/>
              <w:rPr>
                <w:rFonts w:hint="eastAsia"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趋势</w:t>
            </w:r>
          </w:p>
          <w:p>
            <w:pPr>
              <w:widowControl/>
              <w:spacing w:line="240" w:lineRule="auto"/>
              <w:jc w:val="center"/>
              <w:rPr>
                <w:rFonts w:hint="eastAsia"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变化</w:t>
            </w:r>
          </w:p>
        </w:tc>
      </w:tr>
      <w:tr>
        <w:tblPrEx>
          <w:tblCellMar>
            <w:top w:w="0" w:type="dxa"/>
            <w:left w:w="108" w:type="dxa"/>
            <w:bottom w:w="0" w:type="dxa"/>
            <w:right w:w="108" w:type="dxa"/>
          </w:tblCellMar>
        </w:tblPrEx>
        <w:trPr>
          <w:trHeight w:val="488" w:hRule="atLeast"/>
          <w:jc w:val="center"/>
        </w:trPr>
        <w:tc>
          <w:tcPr>
            <w:tcW w:w="2423" w:type="dxa"/>
            <w:vMerge w:val="continue"/>
            <w:tcBorders>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p>
        </w:tc>
        <w:tc>
          <w:tcPr>
            <w:tcW w:w="100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总人数</w:t>
            </w:r>
          </w:p>
        </w:tc>
        <w:tc>
          <w:tcPr>
            <w:tcW w:w="897"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lang w:bidi="ar"/>
              </w:rPr>
            </w:pPr>
            <w:r>
              <w:rPr>
                <w:rFonts w:hint="default" w:ascii="Times New Roman" w:hAnsi="Times New Roman" w:eastAsia="宋体" w:cs="Times New Roman"/>
                <w:b/>
                <w:kern w:val="0"/>
                <w:sz w:val="24"/>
                <w:szCs w:val="24"/>
                <w:lang w:bidi="ar"/>
              </w:rPr>
              <w:t>就业</w:t>
            </w:r>
          </w:p>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人数</w:t>
            </w:r>
          </w:p>
        </w:tc>
        <w:tc>
          <w:tcPr>
            <w:tcW w:w="112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bidi="ar"/>
              </w:rPr>
              <w:t>就业率</w:t>
            </w:r>
            <w:r>
              <w:rPr>
                <w:rFonts w:hint="default" w:ascii="Times New Roman" w:hAnsi="Times New Roman" w:eastAsia="宋体" w:cs="Times New Roman"/>
                <w:b/>
                <w:kern w:val="0"/>
                <w:sz w:val="24"/>
                <w:szCs w:val="24"/>
                <w:lang w:bidi="ar"/>
              </w:rPr>
              <w:t>(%)</w:t>
            </w:r>
          </w:p>
        </w:tc>
        <w:tc>
          <w:tcPr>
            <w:tcW w:w="103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eastAsia"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szCs w:val="24"/>
                <w:lang w:bidi="ar"/>
              </w:rPr>
              <w:t>总人数</w:t>
            </w:r>
          </w:p>
        </w:tc>
        <w:tc>
          <w:tcPr>
            <w:tcW w:w="96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default" w:ascii="Times New Roman" w:hAnsi="Times New Roman" w:eastAsia="宋体" w:cs="Times New Roman"/>
                <w:b/>
                <w:kern w:val="0"/>
                <w:sz w:val="24"/>
                <w:szCs w:val="24"/>
                <w:lang w:bidi="ar"/>
              </w:rPr>
            </w:pPr>
            <w:r>
              <w:rPr>
                <w:rFonts w:hint="default" w:ascii="Times New Roman" w:hAnsi="Times New Roman" w:eastAsia="宋体" w:cs="Times New Roman"/>
                <w:b/>
                <w:kern w:val="0"/>
                <w:sz w:val="24"/>
                <w:szCs w:val="24"/>
                <w:lang w:bidi="ar"/>
              </w:rPr>
              <w:t>就业</w:t>
            </w:r>
          </w:p>
          <w:p>
            <w:pPr>
              <w:widowControl/>
              <w:spacing w:line="240" w:lineRule="auto"/>
              <w:ind w:left="0" w:leftChars="0" w:right="0" w:rightChars="0" w:firstLine="0" w:firstLineChars="0"/>
              <w:jc w:val="center"/>
              <w:rPr>
                <w:rFonts w:hint="eastAsia"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szCs w:val="24"/>
                <w:lang w:bidi="ar"/>
              </w:rPr>
              <w:t>人数</w:t>
            </w:r>
          </w:p>
        </w:tc>
        <w:tc>
          <w:tcPr>
            <w:tcW w:w="108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eastAsia" w:ascii="Times New Roman" w:hAnsi="Times New Roman" w:eastAsia="宋体" w:cs="Times New Roman"/>
                <w:b/>
                <w:color w:val="auto"/>
                <w:kern w:val="0"/>
                <w:sz w:val="24"/>
                <w:szCs w:val="24"/>
                <w:lang w:val="en-US" w:eastAsia="zh-CN" w:bidi="ar-SA"/>
              </w:rPr>
            </w:pPr>
            <w:r>
              <w:rPr>
                <w:rFonts w:hint="eastAsia" w:ascii="Times New Roman" w:hAnsi="Times New Roman" w:eastAsia="宋体" w:cs="Times New Roman"/>
                <w:b/>
                <w:kern w:val="0"/>
                <w:sz w:val="24"/>
                <w:szCs w:val="24"/>
                <w:lang w:eastAsia="zh-CN" w:bidi="ar"/>
              </w:rPr>
              <w:t>就业率</w:t>
            </w:r>
            <w:r>
              <w:rPr>
                <w:rFonts w:hint="default" w:ascii="Times New Roman" w:hAnsi="Times New Roman" w:eastAsia="宋体" w:cs="Times New Roman"/>
                <w:b/>
                <w:kern w:val="0"/>
                <w:sz w:val="24"/>
                <w:szCs w:val="24"/>
                <w:lang w:bidi="ar"/>
              </w:rPr>
              <w:t>(%)</w:t>
            </w:r>
          </w:p>
        </w:tc>
        <w:tc>
          <w:tcPr>
            <w:tcW w:w="839" w:type="dxa"/>
            <w:vMerge w:val="continue"/>
            <w:tcBorders>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eastAsia" w:ascii="Times New Roman" w:hAnsi="Times New Roman" w:eastAsia="宋体" w:cs="Times New Roman"/>
                <w:b/>
                <w:kern w:val="0"/>
                <w:sz w:val="24"/>
                <w:szCs w:val="24"/>
                <w:lang w:eastAsia="zh-CN" w:bidi="ar"/>
              </w:rPr>
            </w:pPr>
          </w:p>
        </w:tc>
      </w:tr>
      <w:tr>
        <w:tblPrEx>
          <w:tblCellMar>
            <w:top w:w="0" w:type="dxa"/>
            <w:left w:w="108" w:type="dxa"/>
            <w:bottom w:w="0" w:type="dxa"/>
            <w:right w:w="108" w:type="dxa"/>
          </w:tblCellMar>
        </w:tblPrEx>
        <w:trPr>
          <w:trHeight w:val="590" w:hRule="atLeast"/>
          <w:jc w:val="center"/>
        </w:trPr>
        <w:tc>
          <w:tcPr>
            <w:tcW w:w="24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电子信息工程</w:t>
            </w:r>
          </w:p>
        </w:tc>
        <w:tc>
          <w:tcPr>
            <w:tcW w:w="100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lang w:val="en-US" w:eastAsia="zh-CN"/>
              </w:rPr>
              <w:t>69</w:t>
            </w:r>
          </w:p>
        </w:tc>
        <w:tc>
          <w:tcPr>
            <w:tcW w:w="89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53</w:t>
            </w:r>
          </w:p>
        </w:tc>
        <w:tc>
          <w:tcPr>
            <w:tcW w:w="11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76.81</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65</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93.85%</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上升</w:t>
            </w:r>
          </w:p>
        </w:tc>
      </w:tr>
      <w:tr>
        <w:tblPrEx>
          <w:tblCellMar>
            <w:top w:w="0" w:type="dxa"/>
            <w:left w:w="108" w:type="dxa"/>
            <w:bottom w:w="0" w:type="dxa"/>
            <w:right w:w="108" w:type="dxa"/>
          </w:tblCellMar>
        </w:tblPrEx>
        <w:trPr>
          <w:trHeight w:val="590" w:hRule="atLeast"/>
          <w:jc w:val="center"/>
        </w:trPr>
        <w:tc>
          <w:tcPr>
            <w:tcW w:w="24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通信工程</w:t>
            </w:r>
          </w:p>
        </w:tc>
        <w:tc>
          <w:tcPr>
            <w:tcW w:w="100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73</w:t>
            </w:r>
          </w:p>
        </w:tc>
        <w:tc>
          <w:tcPr>
            <w:tcW w:w="89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67</w:t>
            </w:r>
          </w:p>
        </w:tc>
        <w:tc>
          <w:tcPr>
            <w:tcW w:w="11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91.78</w:t>
            </w:r>
            <w:r>
              <w:rPr>
                <w:rFonts w:hint="default" w:ascii="Times New Roman" w:hAnsi="Times New Roman" w:eastAsia="宋体" w:cs="Times New Roman"/>
                <w:color w:val="auto"/>
                <w:kern w:val="2"/>
                <w:sz w:val="24"/>
                <w:szCs w:val="24"/>
                <w:lang w:val="en-US" w:eastAsia="zh-CN" w:bidi="ar-SA"/>
              </w:rPr>
              <w:t>%</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57</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96.49%</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上升</w:t>
            </w:r>
          </w:p>
        </w:tc>
      </w:tr>
      <w:tr>
        <w:tblPrEx>
          <w:tblCellMar>
            <w:top w:w="0" w:type="dxa"/>
            <w:left w:w="108" w:type="dxa"/>
            <w:bottom w:w="0" w:type="dxa"/>
            <w:right w:w="108" w:type="dxa"/>
          </w:tblCellMar>
        </w:tblPrEx>
        <w:trPr>
          <w:trHeight w:val="590" w:hRule="atLeast"/>
          <w:jc w:val="center"/>
        </w:trPr>
        <w:tc>
          <w:tcPr>
            <w:tcW w:w="24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计算机科学与技术</w:t>
            </w:r>
          </w:p>
        </w:tc>
        <w:tc>
          <w:tcPr>
            <w:tcW w:w="100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78</w:t>
            </w:r>
          </w:p>
        </w:tc>
        <w:tc>
          <w:tcPr>
            <w:tcW w:w="89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61</w:t>
            </w:r>
          </w:p>
        </w:tc>
        <w:tc>
          <w:tcPr>
            <w:tcW w:w="11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78.21</w:t>
            </w:r>
            <w:r>
              <w:rPr>
                <w:rFonts w:hint="default" w:ascii="Times New Roman" w:hAnsi="Times New Roman" w:eastAsia="宋体" w:cs="Times New Roman"/>
                <w:color w:val="auto"/>
                <w:kern w:val="2"/>
                <w:sz w:val="24"/>
                <w:szCs w:val="24"/>
                <w:lang w:val="en-US" w:eastAsia="zh-CN" w:bidi="ar-SA"/>
              </w:rPr>
              <w:t>%</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139</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86.33%</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上升</w:t>
            </w:r>
          </w:p>
        </w:tc>
      </w:tr>
      <w:tr>
        <w:tblPrEx>
          <w:tblCellMar>
            <w:top w:w="0" w:type="dxa"/>
            <w:left w:w="108" w:type="dxa"/>
            <w:bottom w:w="0" w:type="dxa"/>
            <w:right w:w="108" w:type="dxa"/>
          </w:tblCellMar>
        </w:tblPrEx>
        <w:trPr>
          <w:trHeight w:val="590" w:hRule="atLeast"/>
          <w:jc w:val="center"/>
        </w:trPr>
        <w:tc>
          <w:tcPr>
            <w:tcW w:w="24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电气工程及其自动化</w:t>
            </w:r>
          </w:p>
        </w:tc>
        <w:tc>
          <w:tcPr>
            <w:tcW w:w="100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98</w:t>
            </w:r>
          </w:p>
        </w:tc>
        <w:tc>
          <w:tcPr>
            <w:tcW w:w="89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93</w:t>
            </w:r>
          </w:p>
        </w:tc>
        <w:tc>
          <w:tcPr>
            <w:tcW w:w="11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94.90</w:t>
            </w:r>
            <w:r>
              <w:rPr>
                <w:rFonts w:hint="default" w:ascii="Times New Roman" w:hAnsi="Times New Roman" w:eastAsia="宋体" w:cs="Times New Roman"/>
                <w:color w:val="auto"/>
                <w:kern w:val="2"/>
                <w:sz w:val="24"/>
                <w:szCs w:val="24"/>
                <w:lang w:val="en-US" w:eastAsia="zh-CN" w:bidi="ar-SA"/>
              </w:rPr>
              <w:t>%</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99</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90.90%</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下降</w:t>
            </w:r>
          </w:p>
        </w:tc>
      </w:tr>
    </w:tbl>
    <w:p>
      <w:pPr>
        <w:pStyle w:val="4"/>
        <w:spacing w:before="0" w:after="0" w:line="360" w:lineRule="auto"/>
        <w:rPr>
          <w:rFonts w:hint="eastAsia" w:ascii="Times New Roman" w:hAnsi="Times New Roman" w:eastAsia="宋体" w:cs="Times New Roman"/>
          <w:color w:val="FF0000"/>
          <w:szCs w:val="28"/>
          <w:lang w:eastAsia="zh-CN"/>
        </w:rPr>
      </w:pPr>
      <w:r>
        <w:rPr>
          <w:rFonts w:hint="eastAsia" w:ascii="Times New Roman" w:hAnsi="Times New Roman" w:eastAsia="宋体" w:cs="Times New Roman"/>
          <w:lang w:val="en-US" w:eastAsia="zh-CN"/>
        </w:rPr>
        <w:t>2、2021届与2020届</w:t>
      </w:r>
      <w:r>
        <w:rPr>
          <w:rFonts w:hint="eastAsia" w:ascii="Times New Roman" w:hAnsi="Times New Roman" w:eastAsia="宋体" w:cs="Times New Roman"/>
          <w:szCs w:val="22"/>
          <w:lang w:eastAsia="zh-CN"/>
        </w:rPr>
        <w:t>毕业生就业单位性质对比分析</w:t>
      </w:r>
    </w:p>
    <w:p>
      <w:pPr>
        <w:ind w:left="0" w:right="0" w:firstLine="64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我院20</w:t>
      </w:r>
      <w:r>
        <w:rPr>
          <w:rFonts w:hint="eastAsia" w:ascii="Times New Roman" w:hAnsi="Times New Roman" w:eastAsia="宋体" w:cs="Times New Roman"/>
          <w:sz w:val="28"/>
          <w:szCs w:val="28"/>
          <w:lang w:val="en-US" w:eastAsia="zh-CN"/>
        </w:rPr>
        <w:t>21</w:t>
      </w:r>
      <w:r>
        <w:rPr>
          <w:rFonts w:hint="default" w:ascii="Times New Roman" w:hAnsi="Times New Roman" w:eastAsia="宋体" w:cs="Times New Roman"/>
          <w:sz w:val="28"/>
          <w:szCs w:val="28"/>
        </w:rPr>
        <w:t>届毕业生就业单位性质</w:t>
      </w:r>
      <w:r>
        <w:rPr>
          <w:rFonts w:hint="eastAsia" w:ascii="Times New Roman" w:hAnsi="Times New Roman" w:eastAsia="宋体" w:cs="Times New Roman"/>
          <w:sz w:val="28"/>
          <w:szCs w:val="28"/>
          <w:lang w:eastAsia="zh-CN"/>
        </w:rPr>
        <w:t>对比</w:t>
      </w:r>
      <w:r>
        <w:rPr>
          <w:rFonts w:hint="eastAsia" w:ascii="Times New Roman" w:hAnsi="Times New Roman" w:eastAsia="宋体" w:cs="Times New Roman"/>
          <w:sz w:val="28"/>
          <w:szCs w:val="28"/>
          <w:lang w:val="en-US" w:eastAsia="zh-CN"/>
        </w:rPr>
        <w:t>2020届增加的有：</w:t>
      </w:r>
      <w:r>
        <w:rPr>
          <w:rFonts w:hint="eastAsia" w:ascii="Times New Roman" w:hAnsi="Times New Roman" w:eastAsia="宋体" w:cs="Times New Roman"/>
          <w:sz w:val="28"/>
          <w:szCs w:val="28"/>
          <w:lang w:eastAsia="zh-CN"/>
        </w:rPr>
        <w:t>企业单位、其他教学单位、机关单位、自由职业。其中，随着我院考教师资格证人数增多，在其他教学单位就职的率相比去年有较大幅度提升，同比增长</w:t>
      </w:r>
      <w:r>
        <w:rPr>
          <w:rFonts w:hint="eastAsia" w:ascii="Times New Roman" w:hAnsi="Times New Roman" w:eastAsia="宋体" w:cs="Times New Roman"/>
          <w:sz w:val="28"/>
          <w:szCs w:val="28"/>
          <w:lang w:val="en-US" w:eastAsia="zh-CN"/>
        </w:rPr>
        <w:t>7.75%</w:t>
      </w:r>
      <w:r>
        <w:rPr>
          <w:rFonts w:hint="eastAsia" w:ascii="Times New Roman" w:hAnsi="Times New Roman" w:eastAsia="宋体" w:cs="Times New Roman"/>
          <w:sz w:val="28"/>
          <w:szCs w:val="28"/>
          <w:lang w:eastAsia="zh-CN"/>
        </w:rPr>
        <w:t>（表</w:t>
      </w:r>
      <w:r>
        <w:rPr>
          <w:rFonts w:hint="eastAsia" w:ascii="Times New Roman" w:hAnsi="Times New Roman" w:eastAsia="宋体" w:cs="Times New Roman"/>
          <w:sz w:val="28"/>
          <w:szCs w:val="28"/>
          <w:lang w:val="en-US" w:eastAsia="zh-CN"/>
        </w:rPr>
        <w:t>8</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ind w:right="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 xml:space="preserve">8  </w:t>
      </w:r>
      <w:r>
        <w:rPr>
          <w:rFonts w:hint="default" w:ascii="Times New Roman" w:hAnsi="Times New Roman" w:eastAsia="宋体" w:cs="Times New Roman"/>
          <w:b/>
          <w:bCs/>
          <w:color w:val="auto"/>
          <w:kern w:val="2"/>
          <w:sz w:val="24"/>
          <w:szCs w:val="24"/>
          <w:lang w:val="en-US" w:eastAsia="zh-CN" w:bidi="ar-SA"/>
        </w:rPr>
        <w:t>信息科学与工程学院</w:t>
      </w:r>
      <w:r>
        <w:rPr>
          <w:rFonts w:hint="eastAsia" w:ascii="Times New Roman" w:hAnsi="Times New Roman" w:eastAsia="宋体" w:cs="Times New Roman"/>
          <w:b/>
          <w:bCs/>
          <w:color w:val="auto"/>
          <w:kern w:val="2"/>
          <w:sz w:val="24"/>
          <w:szCs w:val="24"/>
          <w:lang w:val="en-US" w:eastAsia="zh-CN" w:bidi="ar-SA"/>
        </w:rPr>
        <w:t>2020届与2021届毕业生就业单位性质对比分析</w:t>
      </w:r>
    </w:p>
    <w:tbl>
      <w:tblPr>
        <w:tblStyle w:val="14"/>
        <w:tblW w:w="8733" w:type="dxa"/>
        <w:jc w:val="center"/>
        <w:tblLayout w:type="fixed"/>
        <w:tblCellMar>
          <w:top w:w="0" w:type="dxa"/>
          <w:left w:w="108" w:type="dxa"/>
          <w:bottom w:w="0" w:type="dxa"/>
          <w:right w:w="108" w:type="dxa"/>
        </w:tblCellMar>
      </w:tblPr>
      <w:tblGrid>
        <w:gridCol w:w="2139"/>
        <w:gridCol w:w="1201"/>
        <w:gridCol w:w="1520"/>
        <w:gridCol w:w="1233"/>
        <w:gridCol w:w="1560"/>
        <w:gridCol w:w="1080"/>
      </w:tblGrid>
      <w:tr>
        <w:tblPrEx>
          <w:tblCellMar>
            <w:top w:w="0" w:type="dxa"/>
            <w:left w:w="108" w:type="dxa"/>
            <w:bottom w:w="0" w:type="dxa"/>
            <w:right w:w="108" w:type="dxa"/>
          </w:tblCellMar>
        </w:tblPrEx>
        <w:trPr>
          <w:trHeight w:val="567" w:hRule="exact"/>
          <w:jc w:val="center"/>
        </w:trPr>
        <w:tc>
          <w:tcPr>
            <w:tcW w:w="2139"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单位性质</w:t>
            </w:r>
          </w:p>
        </w:tc>
        <w:tc>
          <w:tcPr>
            <w:tcW w:w="2721"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2020届</w:t>
            </w:r>
          </w:p>
        </w:tc>
        <w:tc>
          <w:tcPr>
            <w:tcW w:w="2793"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2021届</w:t>
            </w:r>
          </w:p>
        </w:tc>
        <w:tc>
          <w:tcPr>
            <w:tcW w:w="1080"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趋势</w:t>
            </w:r>
          </w:p>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变化</w:t>
            </w:r>
          </w:p>
        </w:tc>
      </w:tr>
      <w:tr>
        <w:tblPrEx>
          <w:tblCellMar>
            <w:top w:w="0" w:type="dxa"/>
            <w:left w:w="108" w:type="dxa"/>
            <w:bottom w:w="0" w:type="dxa"/>
            <w:right w:w="108" w:type="dxa"/>
          </w:tblCellMar>
        </w:tblPrEx>
        <w:trPr>
          <w:trHeight w:val="567" w:hRule="exact"/>
          <w:jc w:val="center"/>
        </w:trPr>
        <w:tc>
          <w:tcPr>
            <w:tcW w:w="2139"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2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23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6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080"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bidi="ar"/>
              </w:rPr>
            </w:pP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bidi="ar"/>
              </w:rPr>
              <w:t>企业单位</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256</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77.11</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253</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77.61</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继续深造与出国</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45</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13.55</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42</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12.88</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rPr>
              <w:t>其它教学单位</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15</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4.52</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4</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12.27</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bidi="ar"/>
              </w:rPr>
              <w:t>机关单位</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8</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2.41</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3.68</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rPr>
              <w:t>其他事业单位</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4</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1.20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0.92</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rPr>
              <w:t>医疗卫生</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1</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0.30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0.31</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自由职业</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1</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0.30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10</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3.07</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自主创业</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2</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0.60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0.31</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bl>
    <w:p>
      <w:pPr>
        <w:pStyle w:val="13"/>
        <w:spacing w:line="360" w:lineRule="auto"/>
        <w:jc w:val="both"/>
        <w:rPr>
          <w:rFonts w:hint="default" w:ascii="Times New Roman" w:hAnsi="Times New Roman" w:eastAsia="宋体" w:cs="Times New Roman"/>
          <w:kern w:val="2"/>
          <w:sz w:val="28"/>
          <w:szCs w:val="28"/>
        </w:rPr>
      </w:pPr>
      <w:r>
        <w:rPr>
          <w:rFonts w:hint="default" w:ascii="Times New Roman" w:hAnsi="Times New Roman" w:eastAsia="宋体" w:cs="Times New Roman"/>
          <w:color w:val="000000"/>
          <w:kern w:val="2"/>
          <w:sz w:val="21"/>
          <w:szCs w:val="22"/>
          <w:lang w:bidi="ar"/>
        </w:rPr>
        <w:t xml:space="preserve">    注：本</w:t>
      </w:r>
      <w:r>
        <w:rPr>
          <w:rFonts w:hint="eastAsia" w:ascii="Times New Roman" w:hAnsi="Times New Roman" w:eastAsia="宋体" w:cs="Times New Roman"/>
          <w:color w:val="000000"/>
          <w:kern w:val="2"/>
          <w:sz w:val="21"/>
          <w:szCs w:val="22"/>
          <w:lang w:eastAsia="zh-CN" w:bidi="ar"/>
        </w:rPr>
        <w:t>表</w:t>
      </w:r>
      <w:r>
        <w:rPr>
          <w:rFonts w:hint="default" w:ascii="Times New Roman" w:hAnsi="Times New Roman" w:eastAsia="宋体" w:cs="Times New Roman"/>
          <w:color w:val="000000"/>
          <w:kern w:val="2"/>
          <w:sz w:val="21"/>
          <w:szCs w:val="22"/>
          <w:lang w:bidi="ar"/>
        </w:rPr>
        <w:t>将毕业生就业单位性质分为机关单位</w:t>
      </w:r>
      <w:r>
        <w:rPr>
          <w:rFonts w:hint="eastAsia" w:ascii="Times New Roman" w:hAnsi="Times New Roman" w:eastAsia="宋体" w:cs="Times New Roman"/>
          <w:color w:val="000000"/>
          <w:kern w:val="2"/>
          <w:sz w:val="21"/>
          <w:szCs w:val="22"/>
          <w:lang w:eastAsia="zh-CN" w:bidi="ar"/>
        </w:rPr>
        <w:t>（包括部队和地方基层项目）</w:t>
      </w:r>
      <w:r>
        <w:rPr>
          <w:rFonts w:hint="default" w:ascii="Times New Roman" w:hAnsi="Times New Roman" w:eastAsia="宋体" w:cs="Times New Roman"/>
          <w:color w:val="000000"/>
          <w:kern w:val="2"/>
          <w:sz w:val="21"/>
          <w:szCs w:val="22"/>
          <w:lang w:bidi="ar"/>
        </w:rPr>
        <w:t>、其他事业单位、企业单位</w:t>
      </w:r>
      <w:r>
        <w:rPr>
          <w:rFonts w:hint="eastAsia" w:ascii="Times New Roman" w:hAnsi="Times New Roman" w:eastAsia="宋体" w:cs="Times New Roman"/>
          <w:color w:val="000000"/>
          <w:kern w:val="2"/>
          <w:sz w:val="21"/>
          <w:szCs w:val="22"/>
          <w:lang w:eastAsia="zh-CN" w:bidi="ar"/>
        </w:rPr>
        <w:t>（包括国有企业、三资企业以及其他企业）</w:t>
      </w:r>
      <w:r>
        <w:rPr>
          <w:rFonts w:hint="default" w:ascii="Times New Roman" w:hAnsi="Times New Roman" w:eastAsia="宋体" w:cs="Times New Roman"/>
          <w:color w:val="000000"/>
          <w:kern w:val="2"/>
          <w:sz w:val="21"/>
          <w:szCs w:val="22"/>
          <w:lang w:bidi="ar"/>
        </w:rPr>
        <w:t>、医疗卫生、自主创业以及继续深造与出国等几种类型。</w:t>
      </w:r>
    </w:p>
    <w:p>
      <w:pPr>
        <w:pStyle w:val="4"/>
        <w:numPr>
          <w:ilvl w:val="0"/>
          <w:numId w:val="0"/>
        </w:numPr>
        <w:spacing w:before="0" w:after="0" w:line="360" w:lineRule="auto"/>
        <w:ind w:leftChars="0" w:right="0" w:rightChars="0"/>
        <w:rPr>
          <w:rFonts w:hint="eastAsia" w:ascii="Times New Roman" w:hAnsi="Times New Roman" w:eastAsia="宋体" w:cs="Times New Roman"/>
          <w:szCs w:val="22"/>
          <w:highlight w:val="none"/>
          <w:lang w:eastAsia="zh-CN"/>
        </w:rPr>
      </w:pPr>
      <w:bookmarkStart w:id="42" w:name="_Toc20727"/>
      <w:bookmarkStart w:id="43" w:name="_Toc14300"/>
      <w:bookmarkStart w:id="44" w:name="_Toc31430"/>
      <w:bookmarkStart w:id="45" w:name="_Toc5666"/>
      <w:r>
        <w:rPr>
          <w:rFonts w:hint="eastAsia" w:ascii="Times New Roman" w:hAnsi="Times New Roman" w:eastAsia="宋体" w:cs="Times New Roman"/>
          <w:highlight w:val="none"/>
          <w:lang w:val="en-US" w:eastAsia="zh-CN"/>
        </w:rPr>
        <w:t>3、2021届与2020届</w:t>
      </w:r>
      <w:r>
        <w:rPr>
          <w:rFonts w:hint="eastAsia" w:ascii="Times New Roman" w:hAnsi="Times New Roman" w:eastAsia="宋体" w:cs="Times New Roman"/>
          <w:szCs w:val="22"/>
          <w:highlight w:val="none"/>
          <w:lang w:eastAsia="zh-CN"/>
        </w:rPr>
        <w:t>毕业生就业单位行业对比分析</w:t>
      </w:r>
    </w:p>
    <w:p>
      <w:pPr>
        <w:spacing w:line="360" w:lineRule="auto"/>
        <w:ind w:left="0" w:right="0" w:firstLine="640"/>
        <w:jc w:val="both"/>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通过对我院历年来就业较为集中的几个单位行业对比分析得知，当前随着考研、考公、考教资的毕业生人数增长，在教育、政府机关/公共服务业，2021届毕业生较2020届毕业生在此行业的就业比例有所上升，同时从事信息传输、软件和信息技术服务业的毕业生人数同去年相比出现教大幅度提升，增加14.5%。但2021届毕业生由于国家电网报名有地区限制等原因，造成从事电力、热力、燃气级水生产和供应业人数相比2020届大幅度下降，下降10.69%（表9）。</w:t>
      </w:r>
    </w:p>
    <w:p>
      <w:pPr>
        <w:spacing w:line="360" w:lineRule="auto"/>
        <w:ind w:right="0"/>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表9  信息科学与工程学院2021届与2020届毕业生就业单位行业对比分析</w:t>
      </w:r>
    </w:p>
    <w:tbl>
      <w:tblPr>
        <w:tblStyle w:val="14"/>
        <w:tblW w:w="8733" w:type="dxa"/>
        <w:jc w:val="center"/>
        <w:tblLayout w:type="fixed"/>
        <w:tblCellMar>
          <w:top w:w="0" w:type="dxa"/>
          <w:left w:w="108" w:type="dxa"/>
          <w:bottom w:w="0" w:type="dxa"/>
          <w:right w:w="108" w:type="dxa"/>
        </w:tblCellMar>
      </w:tblPr>
      <w:tblGrid>
        <w:gridCol w:w="2139"/>
        <w:gridCol w:w="1201"/>
        <w:gridCol w:w="1520"/>
        <w:gridCol w:w="1233"/>
        <w:gridCol w:w="1560"/>
        <w:gridCol w:w="1080"/>
      </w:tblGrid>
      <w:tr>
        <w:tblPrEx>
          <w:tblCellMar>
            <w:top w:w="0" w:type="dxa"/>
            <w:left w:w="108" w:type="dxa"/>
            <w:bottom w:w="0" w:type="dxa"/>
            <w:right w:w="108" w:type="dxa"/>
          </w:tblCellMar>
        </w:tblPrEx>
        <w:trPr>
          <w:trHeight w:val="567" w:hRule="exact"/>
          <w:jc w:val="center"/>
        </w:trPr>
        <w:tc>
          <w:tcPr>
            <w:tcW w:w="2139"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单位</w:t>
            </w:r>
            <w:r>
              <w:rPr>
                <w:rFonts w:hint="eastAsia" w:ascii="Times New Roman" w:hAnsi="Times New Roman" w:eastAsia="宋体" w:cs="Times New Roman"/>
                <w:b/>
                <w:kern w:val="0"/>
                <w:sz w:val="24"/>
                <w:lang w:eastAsia="zh-CN" w:bidi="ar"/>
              </w:rPr>
              <w:t>行业</w:t>
            </w:r>
          </w:p>
        </w:tc>
        <w:tc>
          <w:tcPr>
            <w:tcW w:w="2721"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2020届</w:t>
            </w:r>
          </w:p>
        </w:tc>
        <w:tc>
          <w:tcPr>
            <w:tcW w:w="2793"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2021届</w:t>
            </w:r>
          </w:p>
        </w:tc>
        <w:tc>
          <w:tcPr>
            <w:tcW w:w="1080"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趋势</w:t>
            </w:r>
          </w:p>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变化</w:t>
            </w:r>
          </w:p>
        </w:tc>
      </w:tr>
      <w:tr>
        <w:tblPrEx>
          <w:tblCellMar>
            <w:top w:w="0" w:type="dxa"/>
            <w:left w:w="108" w:type="dxa"/>
            <w:bottom w:w="0" w:type="dxa"/>
            <w:right w:w="108" w:type="dxa"/>
          </w:tblCellMar>
        </w:tblPrEx>
        <w:trPr>
          <w:trHeight w:val="567" w:hRule="exact"/>
          <w:jc w:val="center"/>
        </w:trPr>
        <w:tc>
          <w:tcPr>
            <w:tcW w:w="2139"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2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23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6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080"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bidi="ar"/>
              </w:rPr>
            </w:pP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rPr>
              <w:t>信息传输、软件和信息技术服务业</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bidi="ar-SA"/>
              </w:rPr>
              <w:t>125</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37.65%</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170</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b w:val="0"/>
                <w:bCs/>
                <w:color w:val="000000"/>
                <w:kern w:val="0"/>
                <w:sz w:val="22"/>
                <w:szCs w:val="22"/>
                <w:lang w:val="en-US" w:eastAsia="zh-CN" w:bidi="ar-SA"/>
              </w:rPr>
            </w:pPr>
            <w:r>
              <w:rPr>
                <w:rFonts w:hint="eastAsia" w:ascii="Times New Roman" w:hAnsi="Times New Roman" w:eastAsia="宋体" w:cs="Times New Roman"/>
                <w:b w:val="0"/>
                <w:bCs/>
                <w:color w:val="000000"/>
                <w:kern w:val="0"/>
                <w:sz w:val="22"/>
                <w:szCs w:val="22"/>
                <w:lang w:val="en-US" w:eastAsia="zh-CN" w:bidi="ar-SA"/>
              </w:rPr>
              <w:t>52.15%</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bidi="ar-SA"/>
              </w:rPr>
              <w:t>电力、热力、燃气及水生产和供应业</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bidi="ar-SA"/>
              </w:rPr>
              <w:t>64</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bidi="ar-SA"/>
              </w:rPr>
              <w:t>19.28%</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28</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8.59%</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rPr>
              <w:t>教育</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45</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13.55%</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56</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17.18%</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eastAsia="zh-CN" w:bidi="ar"/>
              </w:rPr>
              <w:t>政府机关</w:t>
            </w:r>
            <w:r>
              <w:rPr>
                <w:rFonts w:hint="eastAsia" w:ascii="Times New Roman" w:hAnsi="Times New Roman" w:eastAsia="宋体" w:cs="Times New Roman"/>
                <w:color w:val="000000"/>
                <w:kern w:val="0"/>
                <w:sz w:val="24"/>
                <w:lang w:val="en-US" w:eastAsia="zh-CN" w:bidi="ar"/>
              </w:rPr>
              <w:t>/公共服务</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19</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5.72%</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23</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7.06%</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bl>
    <w:p>
      <w:pPr>
        <w:pStyle w:val="3"/>
        <w:shd w:val="clear"/>
        <w:spacing w:before="0" w:after="0" w:line="360" w:lineRule="auto"/>
        <w:rPr>
          <w:rFonts w:hint="eastAsia" w:ascii="Times New Roman" w:hAnsi="Times New Roman" w:eastAsia="宋体" w:cs="Times New Roman"/>
          <w:sz w:val="28"/>
          <w:szCs w:val="22"/>
          <w:lang w:val="en-US" w:eastAsia="zh-CN"/>
        </w:rPr>
      </w:pPr>
    </w:p>
    <w:p>
      <w:pPr>
        <w:pStyle w:val="3"/>
        <w:shd w:val="clear"/>
        <w:spacing w:before="0" w:after="0" w:line="360" w:lineRule="auto"/>
        <w:rPr>
          <w:rFonts w:hint="eastAsia" w:ascii="Times New Roman" w:hAnsi="Times New Roman" w:eastAsia="宋体" w:cs="Times New Roman"/>
          <w:sz w:val="28"/>
          <w:szCs w:val="22"/>
          <w:lang w:eastAsia="zh-CN"/>
        </w:rPr>
      </w:pPr>
      <w:r>
        <w:rPr>
          <w:rFonts w:hint="eastAsia" w:ascii="Times New Roman" w:hAnsi="Times New Roman" w:eastAsia="宋体" w:cs="Times New Roman"/>
          <w:sz w:val="28"/>
          <w:szCs w:val="22"/>
          <w:lang w:val="en-US" w:eastAsia="zh-CN"/>
        </w:rPr>
        <w:t>4、2021届与2020届</w:t>
      </w:r>
      <w:r>
        <w:rPr>
          <w:rFonts w:hint="default" w:ascii="Times New Roman" w:hAnsi="Times New Roman" w:eastAsia="宋体" w:cs="Times New Roman"/>
          <w:sz w:val="28"/>
          <w:szCs w:val="22"/>
        </w:rPr>
        <w:t>毕业生就业区域流向趋势变化</w:t>
      </w:r>
      <w:r>
        <w:rPr>
          <w:rFonts w:hint="eastAsia" w:ascii="Times New Roman" w:hAnsi="Times New Roman" w:eastAsia="宋体" w:cs="Times New Roman"/>
          <w:sz w:val="28"/>
          <w:szCs w:val="22"/>
          <w:lang w:eastAsia="zh-CN"/>
        </w:rPr>
        <w:t>分析</w:t>
      </w:r>
    </w:p>
    <w:p>
      <w:pPr>
        <w:pStyle w:val="13"/>
        <w:keepNext w:val="0"/>
        <w:keepLines w:val="0"/>
        <w:pageBreakBefore w:val="0"/>
        <w:widowControl w:val="0"/>
        <w:shd w:val="clear"/>
        <w:kinsoku/>
        <w:wordWrap/>
        <w:overflowPunct/>
        <w:topLinePunct w:val="0"/>
        <w:autoSpaceDE/>
        <w:autoSpaceDN/>
        <w:bidi w:val="0"/>
        <w:adjustRightInd/>
        <w:snapToGrid/>
        <w:spacing w:line="560" w:lineRule="exact"/>
        <w:ind w:right="0" w:firstLine="560" w:firstLineChars="200"/>
        <w:jc w:val="both"/>
        <w:textAlignment w:val="auto"/>
        <w:rPr>
          <w:rFonts w:hint="default" w:ascii="Times New Roman" w:hAnsi="Times New Roman" w:eastAsia="宋体" w:cs="Times New Roman"/>
          <w:kern w:val="2"/>
          <w:sz w:val="28"/>
          <w:szCs w:val="28"/>
          <w:lang w:val="en-US" w:eastAsia="zh-CN" w:bidi="ar"/>
        </w:rPr>
      </w:pPr>
      <w:r>
        <w:rPr>
          <w:rFonts w:hint="eastAsia" w:ascii="Times New Roman" w:hAnsi="Times New Roman" w:eastAsia="宋体" w:cs="Times New Roman"/>
          <w:kern w:val="2"/>
          <w:sz w:val="28"/>
          <w:szCs w:val="28"/>
          <w:lang w:val="en-US" w:eastAsia="zh-CN" w:bidi="ar"/>
        </w:rPr>
        <w:t>根据对</w:t>
      </w:r>
      <w:r>
        <w:rPr>
          <w:rFonts w:hint="default" w:ascii="Times New Roman" w:hAnsi="Times New Roman" w:eastAsia="宋体" w:cs="Times New Roman"/>
          <w:kern w:val="2"/>
          <w:sz w:val="28"/>
          <w:szCs w:val="28"/>
          <w:lang w:val="en-US" w:eastAsia="zh-CN" w:bidi="ar"/>
        </w:rPr>
        <w:t>我院202</w:t>
      </w:r>
      <w:r>
        <w:rPr>
          <w:rFonts w:hint="eastAsia" w:ascii="Times New Roman" w:hAnsi="Times New Roman" w:eastAsia="宋体" w:cs="Times New Roman"/>
          <w:kern w:val="2"/>
          <w:sz w:val="28"/>
          <w:szCs w:val="28"/>
          <w:lang w:val="en-US" w:eastAsia="zh-CN" w:bidi="ar"/>
        </w:rPr>
        <w:t>1</w:t>
      </w:r>
      <w:r>
        <w:rPr>
          <w:rFonts w:hint="default" w:ascii="Times New Roman" w:hAnsi="Times New Roman" w:eastAsia="宋体" w:cs="Times New Roman"/>
          <w:kern w:val="2"/>
          <w:sz w:val="28"/>
          <w:szCs w:val="28"/>
          <w:lang w:val="en-US" w:eastAsia="zh-CN" w:bidi="ar"/>
        </w:rPr>
        <w:t>届毕业生</w:t>
      </w:r>
      <w:r>
        <w:rPr>
          <w:rFonts w:hint="eastAsia" w:ascii="Times New Roman" w:hAnsi="Times New Roman" w:eastAsia="宋体" w:cs="Times New Roman"/>
          <w:kern w:val="2"/>
          <w:sz w:val="28"/>
          <w:szCs w:val="28"/>
          <w:lang w:val="en-US" w:eastAsia="zh-CN" w:bidi="ar"/>
        </w:rPr>
        <w:t>与2020届毕业生</w:t>
      </w:r>
      <w:r>
        <w:rPr>
          <w:rFonts w:hint="default" w:ascii="Times New Roman" w:hAnsi="Times New Roman" w:eastAsia="宋体" w:cs="Times New Roman"/>
          <w:kern w:val="2"/>
          <w:sz w:val="28"/>
          <w:szCs w:val="28"/>
          <w:lang w:val="en-US" w:eastAsia="zh-CN" w:bidi="ar"/>
        </w:rPr>
        <w:t>地域流向</w:t>
      </w:r>
      <w:r>
        <w:rPr>
          <w:rFonts w:hint="eastAsia" w:ascii="Times New Roman" w:hAnsi="Times New Roman" w:eastAsia="宋体" w:cs="Times New Roman"/>
          <w:kern w:val="2"/>
          <w:sz w:val="28"/>
          <w:szCs w:val="28"/>
          <w:lang w:val="en-US" w:eastAsia="zh-CN" w:bidi="ar"/>
        </w:rPr>
        <w:t>趋势变化分析可知，2021届毕业生就业区域流向</w:t>
      </w:r>
      <w:r>
        <w:rPr>
          <w:rFonts w:hint="default" w:ascii="Times New Roman" w:hAnsi="Times New Roman" w:eastAsia="宋体" w:cs="Times New Roman"/>
          <w:kern w:val="2"/>
          <w:sz w:val="28"/>
          <w:szCs w:val="28"/>
          <w:lang w:val="en-US" w:eastAsia="zh-CN" w:bidi="ar"/>
        </w:rPr>
        <w:t>泛珠江三角洲区域经济体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泛渤海湾区域经济体、泛长江三角洲区域经济体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泛渤海湾区域经济体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西南区域经济体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陕甘宁青区域经济体</w:t>
      </w:r>
      <w:r>
        <w:rPr>
          <w:rFonts w:hint="eastAsia" w:ascii="Times New Roman" w:hAnsi="Times New Roman" w:eastAsia="宋体" w:cs="Times New Roman"/>
          <w:kern w:val="2"/>
          <w:sz w:val="28"/>
          <w:szCs w:val="28"/>
          <w:lang w:val="en-US" w:eastAsia="zh-CN" w:bidi="ar"/>
        </w:rPr>
        <w:t>呈上升趋势；流向</w:t>
      </w:r>
      <w:r>
        <w:rPr>
          <w:rFonts w:hint="default" w:ascii="Times New Roman" w:hAnsi="Times New Roman" w:eastAsia="宋体" w:cs="Times New Roman"/>
          <w:kern w:val="2"/>
          <w:sz w:val="28"/>
          <w:szCs w:val="28"/>
          <w:lang w:val="en-US" w:eastAsia="zh-CN" w:bidi="ar"/>
        </w:rPr>
        <w:t>中原区域经济体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西部生态经济区</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泛东北区域经济体</w:t>
      </w:r>
      <w:r>
        <w:rPr>
          <w:rFonts w:hint="eastAsia" w:ascii="Times New Roman" w:hAnsi="Times New Roman" w:eastAsia="宋体" w:cs="Times New Roman"/>
          <w:kern w:val="2"/>
          <w:sz w:val="28"/>
          <w:szCs w:val="28"/>
          <w:lang w:val="en-US" w:eastAsia="zh-CN" w:bidi="ar"/>
        </w:rPr>
        <w:t>有所下降；但整体而言变化趋势不大，主要还是集中在中原区域经济体。</w:t>
      </w:r>
      <w:r>
        <w:rPr>
          <w:rFonts w:hint="default" w:ascii="Times New Roman" w:hAnsi="Times New Roman" w:eastAsia="宋体" w:cs="Times New Roman"/>
          <w:kern w:val="2"/>
          <w:sz w:val="28"/>
          <w:szCs w:val="28"/>
          <w:lang w:val="en-US" w:eastAsia="zh-CN" w:bidi="ar"/>
        </w:rPr>
        <w:t>（表</w:t>
      </w:r>
      <w:r>
        <w:rPr>
          <w:rFonts w:hint="eastAsia" w:ascii="Times New Roman" w:hAnsi="Times New Roman" w:eastAsia="宋体" w:cs="Times New Roman"/>
          <w:kern w:val="2"/>
          <w:sz w:val="28"/>
          <w:szCs w:val="28"/>
          <w:lang w:val="en-US" w:eastAsia="zh-CN" w:bidi="ar"/>
        </w:rPr>
        <w:t>10</w:t>
      </w:r>
      <w:r>
        <w:rPr>
          <w:rFonts w:hint="default" w:ascii="Times New Roman" w:hAnsi="Times New Roman" w:eastAsia="宋体" w:cs="Times New Roman"/>
          <w:kern w:val="2"/>
          <w:sz w:val="28"/>
          <w:szCs w:val="28"/>
          <w:lang w:val="en-US" w:eastAsia="zh-CN" w:bidi="ar"/>
        </w:rPr>
        <w:t>）。</w:t>
      </w:r>
    </w:p>
    <w:p>
      <w:pPr>
        <w:pStyle w:val="13"/>
        <w:spacing w:line="560" w:lineRule="exact"/>
        <w:ind w:right="0"/>
        <w:jc w:val="center"/>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10  2021届与2020届</w:t>
      </w:r>
      <w:r>
        <w:rPr>
          <w:rFonts w:hint="default" w:ascii="Times New Roman" w:hAnsi="Times New Roman" w:eastAsia="宋体" w:cs="Times New Roman"/>
          <w:b/>
          <w:bCs/>
          <w:color w:val="auto"/>
          <w:kern w:val="2"/>
          <w:sz w:val="24"/>
          <w:szCs w:val="24"/>
          <w:lang w:val="en-US" w:eastAsia="zh-CN" w:bidi="ar-SA"/>
        </w:rPr>
        <w:t>毕业生就业区域流向趋势变化</w:t>
      </w:r>
      <w:r>
        <w:rPr>
          <w:rFonts w:hint="eastAsia" w:ascii="Times New Roman" w:hAnsi="Times New Roman" w:eastAsia="宋体" w:cs="Times New Roman"/>
          <w:b/>
          <w:bCs/>
          <w:color w:val="auto"/>
          <w:kern w:val="2"/>
          <w:sz w:val="24"/>
          <w:szCs w:val="24"/>
          <w:lang w:val="en-US" w:eastAsia="zh-CN" w:bidi="ar-SA"/>
        </w:rPr>
        <w:t>分析</w:t>
      </w:r>
    </w:p>
    <w:tbl>
      <w:tblPr>
        <w:tblStyle w:val="14"/>
        <w:tblW w:w="8733" w:type="dxa"/>
        <w:jc w:val="center"/>
        <w:tblLayout w:type="fixed"/>
        <w:tblCellMar>
          <w:top w:w="0" w:type="dxa"/>
          <w:left w:w="108" w:type="dxa"/>
          <w:bottom w:w="0" w:type="dxa"/>
          <w:right w:w="108" w:type="dxa"/>
        </w:tblCellMar>
      </w:tblPr>
      <w:tblGrid>
        <w:gridCol w:w="2139"/>
        <w:gridCol w:w="1201"/>
        <w:gridCol w:w="1520"/>
        <w:gridCol w:w="1233"/>
        <w:gridCol w:w="1560"/>
        <w:gridCol w:w="1080"/>
      </w:tblGrid>
      <w:tr>
        <w:tblPrEx>
          <w:tblCellMar>
            <w:top w:w="0" w:type="dxa"/>
            <w:left w:w="108" w:type="dxa"/>
            <w:bottom w:w="0" w:type="dxa"/>
            <w:right w:w="108" w:type="dxa"/>
          </w:tblCellMar>
        </w:tblPrEx>
        <w:trPr>
          <w:trHeight w:val="567" w:hRule="exact"/>
          <w:jc w:val="center"/>
        </w:trPr>
        <w:tc>
          <w:tcPr>
            <w:tcW w:w="2139"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szCs w:val="24"/>
                <w:lang w:bidi="ar"/>
              </w:rPr>
              <w:t>地域名称</w:t>
            </w:r>
          </w:p>
        </w:tc>
        <w:tc>
          <w:tcPr>
            <w:tcW w:w="2721"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2020届</w:t>
            </w:r>
          </w:p>
        </w:tc>
        <w:tc>
          <w:tcPr>
            <w:tcW w:w="2793"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2021届</w:t>
            </w:r>
          </w:p>
        </w:tc>
        <w:tc>
          <w:tcPr>
            <w:tcW w:w="1080"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趋势</w:t>
            </w:r>
          </w:p>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变化</w:t>
            </w:r>
          </w:p>
        </w:tc>
      </w:tr>
      <w:tr>
        <w:tblPrEx>
          <w:tblCellMar>
            <w:top w:w="0" w:type="dxa"/>
            <w:left w:w="108" w:type="dxa"/>
            <w:bottom w:w="0" w:type="dxa"/>
            <w:right w:w="108" w:type="dxa"/>
          </w:tblCellMar>
        </w:tblPrEx>
        <w:trPr>
          <w:trHeight w:val="567" w:hRule="exact"/>
          <w:jc w:val="center"/>
        </w:trPr>
        <w:tc>
          <w:tcPr>
            <w:tcW w:w="2139"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2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23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6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080"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bidi="ar"/>
              </w:rPr>
            </w:pP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lang w:bidi="ar"/>
              </w:rPr>
              <w:t>中原区域经济体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180</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54.22</w:t>
            </w:r>
            <w:r>
              <w:rPr>
                <w:rFonts w:hint="default" w:ascii="Times New Roman" w:hAnsi="Times New Roman" w:eastAsia="宋体" w:cs="Times New Roman"/>
                <w:b/>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167</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51.23</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lang w:bidi="ar"/>
              </w:rPr>
              <w:t>泛珠江三角洲区域经济体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65</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19.58</w:t>
            </w:r>
            <w:r>
              <w:rPr>
                <w:rFonts w:hint="default" w:ascii="Times New Roman" w:hAnsi="Times New Roman" w:eastAsia="宋体" w:cs="Times New Roman"/>
                <w:b/>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66</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rPr>
              <w:t>20.25</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泛长江三角洲区域经济体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18</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5.42</w:t>
            </w:r>
            <w:r>
              <w:rPr>
                <w:rFonts w:hint="default" w:ascii="Times New Roman" w:hAnsi="Times New Roman" w:eastAsia="宋体" w:cs="Times New Roman"/>
                <w:b/>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28</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8.59</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泛渤海湾区域经济体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12</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3.61</w:t>
            </w:r>
            <w:r>
              <w:rPr>
                <w:rFonts w:hint="default" w:ascii="Times New Roman" w:hAnsi="Times New Roman" w:eastAsia="宋体" w:cs="Times New Roman"/>
                <w:b/>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14</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4.29</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西南区域经济体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10</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3.01</w:t>
            </w:r>
            <w:r>
              <w:rPr>
                <w:rFonts w:hint="default" w:ascii="Times New Roman" w:hAnsi="Times New Roman" w:eastAsia="宋体" w:cs="Times New Roman"/>
                <w:b/>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10</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3.06</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西部生态经济区</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2.71</w:t>
            </w:r>
            <w:r>
              <w:rPr>
                <w:rFonts w:hint="default" w:ascii="Times New Roman" w:hAnsi="Times New Roman" w:eastAsia="宋体" w:cs="Times New Roman"/>
                <w:b/>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7</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2.15</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rPr>
              <w:t>泛东北区域经济体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5</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1.51</w:t>
            </w:r>
            <w:r>
              <w:rPr>
                <w:rFonts w:hint="default" w:ascii="Times New Roman" w:hAnsi="Times New Roman" w:eastAsia="宋体" w:cs="Times New Roman"/>
                <w:b/>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0.61</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lang w:bidi="ar"/>
              </w:rPr>
              <w:t>陕甘宁青区域经济体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0.60</w:t>
            </w:r>
            <w:r>
              <w:rPr>
                <w:rFonts w:hint="default" w:ascii="Times New Roman" w:hAnsi="Times New Roman" w:eastAsia="宋体" w:cs="Times New Roman"/>
                <w:b/>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0.92</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bidi="ar"/>
              </w:rPr>
            </w:pPr>
            <w:r>
              <w:rPr>
                <w:rFonts w:hint="default" w:ascii="Times New Roman" w:hAnsi="Times New Roman" w:eastAsia="宋体" w:cs="Times New Roman"/>
                <w:kern w:val="0"/>
                <w:sz w:val="24"/>
                <w:szCs w:val="24"/>
              </w:rPr>
              <w:t>其他</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color w:val="000000"/>
                <w:kern w:val="0"/>
                <w:sz w:val="24"/>
                <w:szCs w:val="24"/>
                <w:lang w:val="en-US" w:eastAsia="zh-CN"/>
              </w:rPr>
              <w:t>31</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color w:val="000000"/>
                <w:kern w:val="0"/>
                <w:sz w:val="24"/>
                <w:szCs w:val="24"/>
                <w:lang w:val="en-US" w:eastAsia="zh-CN"/>
              </w:rPr>
              <w:t>9.34</w:t>
            </w:r>
            <w:r>
              <w:rPr>
                <w:rFonts w:hint="default" w:ascii="Times New Roman" w:hAnsi="Times New Roman" w:eastAsia="宋体" w:cs="Times New Roman"/>
                <w:b/>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29</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8.90</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下降</w:t>
            </w:r>
          </w:p>
        </w:tc>
      </w:tr>
    </w:tbl>
    <w:p>
      <w:pPr>
        <w:tabs>
          <w:tab w:val="left" w:pos="6451"/>
        </w:tabs>
        <w:jc w:val="left"/>
        <w:rPr>
          <w:rFonts w:hint="default" w:ascii="Times New Roman" w:hAnsi="Times New Roman" w:eastAsia="宋体" w:cs="Times New Roman"/>
        </w:rPr>
      </w:pPr>
      <w:r>
        <w:rPr>
          <w:rFonts w:hint="default" w:ascii="Times New Roman" w:hAnsi="Times New Roman" w:eastAsia="宋体" w:cs="Times New Roman"/>
          <w:spacing w:val="-2"/>
          <w:sz w:val="18"/>
          <w:szCs w:val="18"/>
          <w:lang w:bidi="ar"/>
        </w:rPr>
        <w:t>注：本报告按八大区域经济体划分毕业生地域流向，分别是中原区域经济体（河南、湖北、湖南）、泛珠江三角洲区域经济体（广东、广西、福建、海南）、泛长江三角洲区域经济体（上海、江苏、浙江、江西、安徽）、泛渤海湾区域经济体（北京、天津、山东、河北、内蒙古、山西）、西南区域经济体（重庆、四川、贵州、云南）、西部生态经济区（西藏、新疆）、泛东北区域经济体（黑龙江、吉林、辽</w:t>
      </w:r>
      <w:r>
        <w:rPr>
          <w:rFonts w:hint="eastAsia" w:ascii="Times New Roman" w:hAnsi="Times New Roman" w:eastAsia="宋体" w:cs="Times New Roman"/>
          <w:spacing w:val="-2"/>
          <w:sz w:val="18"/>
          <w:szCs w:val="18"/>
          <w:lang w:eastAsia="zh-CN" w:bidi="ar"/>
        </w:rPr>
        <w:t>宁</w:t>
      </w:r>
      <w:r>
        <w:rPr>
          <w:rFonts w:hint="default" w:ascii="Times New Roman" w:hAnsi="Times New Roman" w:eastAsia="宋体" w:cs="Times New Roman"/>
          <w:spacing w:val="-2"/>
          <w:sz w:val="18"/>
          <w:szCs w:val="18"/>
          <w:lang w:bidi="ar"/>
        </w:rPr>
        <w:t>）、陕甘宁青区域经济体（陕西、甘肃、宁夏、青海）。</w:t>
      </w:r>
    </w:p>
    <w:bookmarkEnd w:id="42"/>
    <w:bookmarkEnd w:id="43"/>
    <w:bookmarkEnd w:id="44"/>
    <w:bookmarkEnd w:id="45"/>
    <w:p>
      <w:pPr>
        <w:pStyle w:val="2"/>
        <w:rPr>
          <w:rFonts w:hint="eastAsia" w:ascii="Times New Roman" w:hAnsi="Times New Roman" w:eastAsia="宋体" w:cs="Times New Roman"/>
          <w:color w:val="auto"/>
          <w:sz w:val="28"/>
          <w:szCs w:val="28"/>
          <w:lang w:eastAsia="zh-CN"/>
        </w:rPr>
      </w:pPr>
      <w:bookmarkStart w:id="46" w:name="_Toc25455"/>
      <w:bookmarkStart w:id="47" w:name="_Toc3553"/>
      <w:bookmarkStart w:id="48" w:name="_Toc11321"/>
      <w:bookmarkStart w:id="49" w:name="_Toc3005"/>
      <w:bookmarkStart w:id="50" w:name="_Toc8752"/>
      <w:r>
        <w:rPr>
          <w:rFonts w:hint="eastAsia" w:ascii="Times New Roman" w:hAnsi="Times New Roman" w:eastAsia="宋体" w:cs="Times New Roman"/>
          <w:color w:val="auto"/>
          <w:sz w:val="28"/>
          <w:szCs w:val="28"/>
          <w:lang w:eastAsia="zh-CN"/>
        </w:rPr>
        <w:t>四、</w:t>
      </w:r>
      <w:r>
        <w:rPr>
          <w:rFonts w:hint="eastAsia" w:ascii="Times New Roman" w:hAnsi="Times New Roman" w:eastAsia="宋体" w:cs="Times New Roman"/>
          <w:color w:val="auto"/>
          <w:sz w:val="28"/>
          <w:szCs w:val="28"/>
          <w:lang w:val="en-US" w:eastAsia="zh-CN"/>
        </w:rPr>
        <w:t>2021年</w:t>
      </w:r>
      <w:r>
        <w:rPr>
          <w:rFonts w:hint="eastAsia" w:ascii="Times New Roman" w:hAnsi="Times New Roman" w:eastAsia="宋体" w:cs="Times New Roman"/>
          <w:color w:val="auto"/>
          <w:sz w:val="28"/>
          <w:szCs w:val="28"/>
          <w:lang w:eastAsia="zh-CN"/>
        </w:rPr>
        <w:t>就业创业工作评价</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_Toc9908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（一）用人单位评价</w:t>
      </w:r>
      <w:r>
        <w:rPr>
          <w:rFonts w:hint="default" w:ascii="Times New Roman" w:hAnsi="Times New Roman" w:eastAsia="宋体" w:cs="Times New Roman"/>
          <w:color w:val="auto"/>
          <w:kern w:val="2"/>
          <w:sz w:val="28"/>
          <w:szCs w:val="28"/>
          <w:highlight w:val="none"/>
          <w:lang w:val="en-US" w:eastAsia="zh-CN" w:bidi="ar"/>
        </w:rPr>
        <w:fldChar w:fldCharType="end"/>
      </w:r>
    </w:p>
    <w:p>
      <w:pPr>
        <w:widowControl/>
        <w:spacing w:line="360" w:lineRule="auto"/>
        <w:ind w:firstLine="64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2021年8月—12月，学院向建立了长期稳定合作的用人单位进行抽样调查，发放调查问卷30份，有效问卷30份。抽样调查的用人单位主要分布在湖南、广东、海南等省市，其中企业单位覆盖了信息传输、软件和信息技术、教育和技术服务业等。</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_Toc19412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1、用人单位对我院毕业生综合素质的评价</w:t>
      </w:r>
      <w:r>
        <w:rPr>
          <w:rFonts w:hint="default" w:ascii="Times New Roman" w:hAnsi="Times New Roman" w:eastAsia="宋体" w:cs="Times New Roman"/>
          <w:color w:val="auto"/>
          <w:kern w:val="2"/>
          <w:sz w:val="28"/>
          <w:szCs w:val="28"/>
          <w:highlight w:val="none"/>
          <w:lang w:val="en-US" w:eastAsia="zh-CN" w:bidi="ar"/>
        </w:rPr>
        <w:fldChar w:fldCharType="end"/>
      </w:r>
    </w:p>
    <w:p>
      <w:pPr>
        <w:widowControl/>
        <w:spacing w:line="360" w:lineRule="auto"/>
        <w:ind w:firstLine="640"/>
        <w:jc w:val="both"/>
        <w:rPr>
          <w:rFonts w:hint="eastAsia" w:ascii="Times New Roman" w:hAnsi="Times New Roman" w:eastAsia="宋体" w:cs="Times New Roman"/>
          <w:color w:val="auto"/>
          <w:kern w:val="2"/>
          <w:sz w:val="28"/>
          <w:szCs w:val="28"/>
          <w:highlight w:val="none"/>
          <w:lang w:val="en-US" w:eastAsia="zh-CN" w:bidi="ar"/>
        </w:rPr>
      </w:pPr>
      <w:r>
        <w:rPr>
          <w:rFonts w:hint="eastAsia" w:ascii="Times New Roman" w:hAnsi="Times New Roman" w:eastAsia="宋体" w:cs="Times New Roman"/>
          <w:color w:val="auto"/>
          <w:kern w:val="2"/>
          <w:sz w:val="28"/>
          <w:szCs w:val="28"/>
          <w:highlight w:val="none"/>
          <w:lang w:val="en-US" w:eastAsia="zh-CN" w:bidi="ar"/>
        </w:rPr>
        <w:t>用人单位对我院毕业生的思想政治与道德素质、工作态度、专业水平、职业能力、匹配度等方面的评价总体较好，对我院2017届毕业生综合素质满意度为93.65%，其中满意度最高的是工作岗位匹配度，为93.65%，其次是职业能力，为88.64%。</w:t>
      </w:r>
    </w:p>
    <w:p>
      <w:pPr>
        <w:widowControl/>
        <w:spacing w:line="360" w:lineRule="auto"/>
        <w:ind w:firstLine="640"/>
        <w:jc w:val="both"/>
        <w:rPr>
          <w:rFonts w:hint="default" w:ascii="Times New Roman" w:hAnsi="Times New Roman" w:eastAsia="宋体" w:cs="Times New Roman"/>
          <w:color w:val="auto"/>
          <w:kern w:val="2"/>
          <w:sz w:val="28"/>
          <w:szCs w:val="28"/>
          <w:highlight w:val="yellow"/>
          <w:lang w:val="en-US" w:eastAsia="zh-CN" w:bidi="ar"/>
        </w:rPr>
      </w:pPr>
      <w:r>
        <w:drawing>
          <wp:inline distT="0" distB="0" distL="114300" distR="114300">
            <wp:extent cx="4440555" cy="2435225"/>
            <wp:effectExtent l="5080" t="4445" r="12065" b="1778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_Toc19002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2、用人单位对我院就业创业工作的评价</w:t>
      </w:r>
      <w:r>
        <w:rPr>
          <w:rFonts w:hint="default" w:ascii="Times New Roman" w:hAnsi="Times New Roman" w:eastAsia="宋体" w:cs="Times New Roman"/>
          <w:color w:val="auto"/>
          <w:kern w:val="2"/>
          <w:sz w:val="28"/>
          <w:szCs w:val="28"/>
          <w:highlight w:val="none"/>
          <w:lang w:val="en-US" w:eastAsia="zh-CN" w:bidi="ar"/>
        </w:rPr>
        <w:fldChar w:fldCharType="end"/>
      </w:r>
    </w:p>
    <w:p>
      <w:pPr>
        <w:widowControl/>
        <w:spacing w:line="360" w:lineRule="auto"/>
        <w:ind w:firstLine="640"/>
        <w:jc w:val="both"/>
        <w:rPr>
          <w:rFonts w:hint="default" w:ascii="Times New Roman" w:hAnsi="Times New Roman" w:eastAsia="宋体" w:cs="Times New Roman"/>
          <w:color w:val="auto"/>
          <w:kern w:val="2"/>
          <w:sz w:val="28"/>
          <w:szCs w:val="28"/>
          <w:highlight w:val="none"/>
          <w:lang w:val="en-US" w:eastAsia="zh-CN" w:bidi="ar"/>
        </w:rPr>
      </w:pPr>
      <w:r>
        <w:rPr>
          <w:rFonts w:hint="eastAsia" w:ascii="Times New Roman" w:hAnsi="Times New Roman" w:eastAsia="宋体" w:cs="Times New Roman"/>
          <w:color w:val="auto"/>
          <w:kern w:val="2"/>
          <w:sz w:val="28"/>
          <w:szCs w:val="28"/>
          <w:highlight w:val="none"/>
          <w:lang w:val="en-US" w:eastAsia="zh-CN" w:bidi="ar"/>
        </w:rPr>
        <w:t>经调查，用人单位对我院就业创业工作给予了较高的评价，其中对我院校园招聘服务工作水平非常满意占93.33%，对我院学生就业指导服务水平工作非常满意占96.67%。</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8"/>
          <w:szCs w:val="28"/>
          <w:highlight w:val="yellow"/>
          <w:lang w:val="en-US" w:eastAsia="zh-CN" w:bidi="ar"/>
        </w:rPr>
      </w:pPr>
      <w:r>
        <w:drawing>
          <wp:inline distT="0" distB="0" distL="114300" distR="114300">
            <wp:extent cx="4413885" cy="2573655"/>
            <wp:effectExtent l="4445" t="4445" r="20320" b="1270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_Toc11831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（二）毕业生评价</w:t>
      </w:r>
      <w:r>
        <w:rPr>
          <w:rFonts w:hint="default" w:ascii="Times New Roman" w:hAnsi="Times New Roman" w:eastAsia="宋体" w:cs="Times New Roman"/>
          <w:color w:val="auto"/>
          <w:kern w:val="2"/>
          <w:sz w:val="28"/>
          <w:szCs w:val="28"/>
          <w:highlight w:val="none"/>
          <w:lang w:val="en-US" w:eastAsia="zh-CN" w:bidi="ar"/>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eastAsia" w:ascii="Times New Roman" w:hAnsi="Times New Roman" w:eastAsia="宋体" w:cs="Times New Roman"/>
          <w:color w:val="auto"/>
          <w:kern w:val="2"/>
          <w:sz w:val="28"/>
          <w:szCs w:val="28"/>
          <w:highlight w:val="none"/>
          <w:lang w:val="en-US" w:eastAsia="zh-CN" w:bidi="ar"/>
        </w:rPr>
        <w:t>随机抽取部分已就业毕业生对用人单位以及学院就业创业工作进行调查，累计“一对一”发放电子问卷105份，回收有效问卷100份。</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_Toc15680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1、毕业生对用人单位的评价</w:t>
      </w:r>
      <w:r>
        <w:rPr>
          <w:rFonts w:hint="default" w:ascii="Times New Roman" w:hAnsi="Times New Roman" w:eastAsia="宋体" w:cs="Times New Roman"/>
          <w:color w:val="auto"/>
          <w:kern w:val="2"/>
          <w:sz w:val="28"/>
          <w:szCs w:val="28"/>
          <w:highlight w:val="none"/>
          <w:lang w:val="en-US" w:eastAsia="zh-CN" w:bidi="ar"/>
        </w:rPr>
        <w:fldChar w:fldCharType="end"/>
      </w:r>
    </w:p>
    <w:p>
      <w:pPr>
        <w:pStyle w:val="26"/>
        <w:spacing w:line="360" w:lineRule="auto"/>
        <w:ind w:firstLine="640"/>
        <w:rPr>
          <w:rFonts w:hint="default" w:ascii="仿宋_GB2312" w:hAnsi="微软雅黑" w:eastAsia="仿宋_GB2312"/>
          <w:bCs/>
          <w:color w:val="auto"/>
          <w:sz w:val="32"/>
          <w:szCs w:val="32"/>
          <w:lang w:val="en-US" w:eastAsia="zh-CN"/>
        </w:rPr>
      </w:pPr>
      <w:r>
        <w:rPr>
          <w:rFonts w:hint="eastAsia" w:ascii="仿宋_GB2312" w:hAnsi="微软雅黑" w:eastAsia="仿宋_GB2312"/>
          <w:bCs/>
          <w:color w:val="auto"/>
          <w:sz w:val="32"/>
          <w:szCs w:val="32"/>
          <w:lang w:eastAsia="zh-CN"/>
        </w:rPr>
        <w:t>通过随机</w:t>
      </w:r>
      <w:r>
        <w:rPr>
          <w:rFonts w:hint="eastAsia" w:ascii="仿宋_GB2312" w:hAnsi="微软雅黑" w:eastAsia="仿宋_GB2312"/>
          <w:bCs/>
          <w:color w:val="auto"/>
          <w:sz w:val="32"/>
          <w:szCs w:val="32"/>
        </w:rPr>
        <w:t>抽样1</w:t>
      </w:r>
      <w:r>
        <w:rPr>
          <w:rFonts w:hint="eastAsia" w:ascii="仿宋_GB2312" w:hAnsi="微软雅黑" w:eastAsia="仿宋_GB2312"/>
          <w:bCs/>
          <w:color w:val="auto"/>
          <w:sz w:val="32"/>
          <w:szCs w:val="32"/>
          <w:lang w:val="en-US" w:eastAsia="zh-CN"/>
        </w:rPr>
        <w:t>00名毕业生对当前工作满意度调查</w:t>
      </w:r>
      <w:r>
        <w:rPr>
          <w:rFonts w:hint="eastAsia" w:ascii="仿宋_GB2312" w:hAnsi="微软雅黑" w:eastAsia="仿宋_GB2312"/>
          <w:bCs/>
          <w:color w:val="auto"/>
          <w:sz w:val="32"/>
          <w:szCs w:val="32"/>
        </w:rPr>
        <w:t>，“很满意”的占</w:t>
      </w:r>
      <w:r>
        <w:rPr>
          <w:rFonts w:hint="eastAsia" w:ascii="仿宋_GB2312" w:hAnsi="微软雅黑" w:eastAsia="仿宋_GB2312"/>
          <w:bCs/>
          <w:color w:val="auto"/>
          <w:sz w:val="32"/>
          <w:szCs w:val="32"/>
          <w:lang w:val="en-US" w:eastAsia="zh-CN"/>
        </w:rPr>
        <w:t>68.00</w:t>
      </w:r>
      <w:r>
        <w:rPr>
          <w:rFonts w:hint="eastAsia" w:ascii="仿宋_GB2312" w:hAnsi="微软雅黑" w:eastAsia="仿宋_GB2312"/>
          <w:bCs/>
          <w:color w:val="auto"/>
          <w:sz w:val="32"/>
          <w:szCs w:val="32"/>
        </w:rPr>
        <w:t>%，“比较满意”的占</w:t>
      </w:r>
      <w:r>
        <w:rPr>
          <w:rFonts w:hint="eastAsia" w:ascii="仿宋_GB2312" w:hAnsi="微软雅黑" w:eastAsia="仿宋_GB2312"/>
          <w:bCs/>
          <w:color w:val="auto"/>
          <w:sz w:val="32"/>
          <w:szCs w:val="32"/>
          <w:lang w:val="en-US" w:eastAsia="zh-CN"/>
        </w:rPr>
        <w:t>25.00</w:t>
      </w:r>
      <w:r>
        <w:rPr>
          <w:rFonts w:hint="eastAsia" w:ascii="仿宋_GB2312" w:hAnsi="微软雅黑" w:eastAsia="仿宋_GB2312"/>
          <w:bCs/>
          <w:color w:val="auto"/>
          <w:sz w:val="32"/>
          <w:szCs w:val="32"/>
        </w:rPr>
        <w:t>%，“</w:t>
      </w:r>
      <w:r>
        <w:rPr>
          <w:rFonts w:hint="eastAsia" w:ascii="仿宋_GB2312" w:hAnsi="微软雅黑" w:eastAsia="仿宋_GB2312"/>
          <w:bCs/>
          <w:color w:val="auto"/>
          <w:sz w:val="32"/>
          <w:szCs w:val="32"/>
          <w:lang w:eastAsia="zh-CN"/>
        </w:rPr>
        <w:t>一般</w:t>
      </w:r>
      <w:r>
        <w:rPr>
          <w:rFonts w:hint="eastAsia" w:ascii="仿宋_GB2312" w:hAnsi="微软雅黑" w:eastAsia="仿宋_GB2312"/>
          <w:bCs/>
          <w:color w:val="auto"/>
          <w:sz w:val="32"/>
          <w:szCs w:val="32"/>
        </w:rPr>
        <w:t>”的占</w:t>
      </w:r>
      <w:r>
        <w:rPr>
          <w:rFonts w:hint="eastAsia" w:ascii="仿宋_GB2312" w:hAnsi="微软雅黑" w:eastAsia="仿宋_GB2312"/>
          <w:bCs/>
          <w:color w:val="auto"/>
          <w:sz w:val="32"/>
          <w:szCs w:val="32"/>
          <w:lang w:val="en-US" w:eastAsia="zh-CN"/>
        </w:rPr>
        <w:t>7.00</w:t>
      </w:r>
      <w:r>
        <w:rPr>
          <w:rFonts w:hint="eastAsia" w:ascii="仿宋_GB2312" w:hAnsi="微软雅黑" w:eastAsia="仿宋_GB2312"/>
          <w:bCs/>
          <w:color w:val="auto"/>
          <w:sz w:val="32"/>
          <w:szCs w:val="32"/>
        </w:rPr>
        <w:t>%。</w:t>
      </w:r>
      <w:r>
        <w:rPr>
          <w:rFonts w:hint="eastAsia" w:ascii="仿宋_GB2312" w:hAnsi="微软雅黑" w:eastAsia="仿宋_GB2312"/>
          <w:bCs/>
          <w:color w:val="auto"/>
          <w:sz w:val="32"/>
          <w:szCs w:val="32"/>
          <w:lang w:eastAsia="zh-CN"/>
        </w:rPr>
        <w:t>整体而言，我院</w:t>
      </w:r>
      <w:r>
        <w:rPr>
          <w:rFonts w:hint="eastAsia" w:ascii="仿宋_GB2312" w:hAnsi="微软雅黑" w:eastAsia="仿宋_GB2312"/>
          <w:bCs/>
          <w:color w:val="auto"/>
          <w:sz w:val="32"/>
          <w:szCs w:val="32"/>
          <w:lang w:val="en-US" w:eastAsia="zh-CN"/>
        </w:rPr>
        <w:t>2021届毕业生对用人单位的满意度较高（图7）。</w:t>
      </w:r>
    </w:p>
    <w:p>
      <w:pPr>
        <w:jc w:val="center"/>
        <w:rPr>
          <w:rFonts w:hint="default"/>
          <w:lang w:val="en-US" w:eastAsia="zh-CN"/>
        </w:rPr>
      </w:pPr>
      <w:r>
        <w:drawing>
          <wp:inline distT="0" distB="0" distL="114300" distR="114300">
            <wp:extent cx="4404360" cy="2632075"/>
            <wp:effectExtent l="4445" t="5080" r="10795" b="10795"/>
            <wp:docPr id="1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_Toc24513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2、毕业生对学院就业创业工作的评价</w:t>
      </w:r>
      <w:r>
        <w:rPr>
          <w:rFonts w:hint="default" w:ascii="Times New Roman" w:hAnsi="Times New Roman" w:eastAsia="宋体" w:cs="Times New Roman"/>
          <w:color w:val="auto"/>
          <w:kern w:val="2"/>
          <w:sz w:val="28"/>
          <w:szCs w:val="28"/>
          <w:highlight w:val="none"/>
          <w:lang w:val="en-US" w:eastAsia="zh-CN" w:bidi="ar"/>
        </w:rPr>
        <w:fldChar w:fldCharType="end"/>
      </w:r>
    </w:p>
    <w:p>
      <w:pPr>
        <w:pStyle w:val="26"/>
        <w:spacing w:line="360" w:lineRule="auto"/>
        <w:ind w:firstLine="640"/>
        <w:rPr>
          <w:rFonts w:hint="default" w:ascii="仿宋_GB2312" w:hAnsi="宋体" w:eastAsia="仿宋_GB2312"/>
          <w:color w:val="auto"/>
          <w:sz w:val="32"/>
          <w:szCs w:val="32"/>
          <w:lang w:val="en-US" w:eastAsia="zh-CN"/>
        </w:rPr>
      </w:pPr>
      <w:r>
        <w:rPr>
          <w:rFonts w:hint="eastAsia" w:ascii="仿宋_GB2312" w:hAnsi="宋体" w:eastAsia="仿宋_GB2312"/>
          <w:color w:val="auto"/>
          <w:sz w:val="32"/>
          <w:szCs w:val="32"/>
          <w:lang w:eastAsia="zh-CN"/>
        </w:rPr>
        <w:t>通过随机</w:t>
      </w:r>
      <w:r>
        <w:rPr>
          <w:rFonts w:hint="eastAsia" w:ascii="仿宋_GB2312" w:hAnsi="宋体" w:eastAsia="仿宋_GB2312"/>
          <w:color w:val="auto"/>
          <w:sz w:val="32"/>
          <w:szCs w:val="32"/>
        </w:rPr>
        <w:t>抽样调查</w:t>
      </w:r>
      <w:r>
        <w:rPr>
          <w:rFonts w:hint="eastAsia" w:ascii="仿宋_GB2312" w:hAnsi="宋体" w:eastAsia="仿宋_GB2312"/>
          <w:color w:val="auto"/>
          <w:sz w:val="32"/>
          <w:szCs w:val="32"/>
          <w:lang w:val="en-US" w:eastAsia="zh-CN"/>
        </w:rPr>
        <w:t>100名</w:t>
      </w:r>
      <w:r>
        <w:rPr>
          <w:rFonts w:hint="eastAsia" w:ascii="仿宋_GB2312" w:hAnsi="宋体" w:eastAsia="仿宋_GB2312"/>
          <w:color w:val="auto"/>
          <w:sz w:val="32"/>
          <w:szCs w:val="32"/>
        </w:rPr>
        <w:t>毕业生对我</w:t>
      </w:r>
      <w:r>
        <w:rPr>
          <w:rFonts w:hint="eastAsia" w:ascii="仿宋_GB2312" w:hAnsi="宋体" w:eastAsia="仿宋_GB2312"/>
          <w:color w:val="auto"/>
          <w:sz w:val="32"/>
          <w:szCs w:val="32"/>
          <w:lang w:eastAsia="zh-CN"/>
        </w:rPr>
        <w:t>院</w:t>
      </w:r>
      <w:r>
        <w:rPr>
          <w:rFonts w:hint="eastAsia" w:ascii="仿宋_GB2312" w:hAnsi="宋体" w:eastAsia="仿宋_GB2312"/>
          <w:color w:val="auto"/>
          <w:sz w:val="32"/>
          <w:szCs w:val="32"/>
        </w:rPr>
        <w:t>就业</w:t>
      </w:r>
      <w:r>
        <w:rPr>
          <w:rFonts w:hint="eastAsia" w:ascii="仿宋_GB2312" w:hAnsi="宋体" w:eastAsia="仿宋_GB2312"/>
          <w:color w:val="auto"/>
          <w:sz w:val="32"/>
          <w:szCs w:val="32"/>
          <w:lang w:eastAsia="zh-CN"/>
        </w:rPr>
        <w:t>创业</w:t>
      </w:r>
      <w:r>
        <w:rPr>
          <w:rFonts w:hint="eastAsia" w:ascii="仿宋_GB2312" w:hAnsi="宋体" w:eastAsia="仿宋_GB2312"/>
          <w:color w:val="auto"/>
          <w:sz w:val="32"/>
          <w:szCs w:val="32"/>
        </w:rPr>
        <w:t>工作</w:t>
      </w:r>
      <w:r>
        <w:rPr>
          <w:rFonts w:hint="eastAsia" w:ascii="仿宋_GB2312" w:hAnsi="宋体" w:eastAsia="仿宋_GB2312"/>
          <w:color w:val="auto"/>
          <w:sz w:val="32"/>
          <w:szCs w:val="32"/>
          <w:lang w:eastAsia="zh-CN"/>
        </w:rPr>
        <w:t>进行评价</w:t>
      </w:r>
      <w:r>
        <w:rPr>
          <w:rFonts w:hint="eastAsia" w:ascii="仿宋_GB2312" w:hAnsi="宋体" w:eastAsia="仿宋_GB2312"/>
          <w:color w:val="auto"/>
          <w:sz w:val="32"/>
          <w:szCs w:val="32"/>
        </w:rPr>
        <w:t>，“很满意”</w:t>
      </w:r>
      <w:r>
        <w:rPr>
          <w:rFonts w:hint="eastAsia" w:ascii="仿宋_GB2312" w:hAnsi="宋体" w:eastAsia="仿宋_GB2312"/>
          <w:color w:val="auto"/>
          <w:sz w:val="32"/>
          <w:szCs w:val="32"/>
          <w:lang w:val="en-US" w:eastAsia="zh-CN"/>
        </w:rPr>
        <w:t>82</w:t>
      </w:r>
      <w:r>
        <w:rPr>
          <w:rFonts w:hint="eastAsia" w:ascii="仿宋_GB2312" w:hAnsi="宋体" w:eastAsia="仿宋_GB2312"/>
          <w:color w:val="auto"/>
          <w:sz w:val="32"/>
          <w:szCs w:val="32"/>
        </w:rPr>
        <w:t>人，占</w:t>
      </w:r>
      <w:r>
        <w:rPr>
          <w:rFonts w:hint="eastAsia" w:ascii="仿宋_GB2312" w:hAnsi="宋体" w:eastAsia="仿宋_GB2312"/>
          <w:color w:val="auto"/>
          <w:sz w:val="32"/>
          <w:szCs w:val="32"/>
          <w:lang w:val="en-US" w:eastAsia="zh-CN"/>
        </w:rPr>
        <w:t>82.00</w:t>
      </w:r>
      <w:r>
        <w:rPr>
          <w:rFonts w:hint="eastAsia" w:ascii="仿宋_GB2312" w:hAnsi="宋体" w:eastAsia="仿宋_GB2312"/>
          <w:color w:val="auto"/>
          <w:sz w:val="32"/>
          <w:szCs w:val="32"/>
        </w:rPr>
        <w:t>%，“满意”</w:t>
      </w:r>
      <w:r>
        <w:rPr>
          <w:rFonts w:hint="eastAsia" w:ascii="仿宋_GB2312" w:hAnsi="宋体" w:eastAsia="仿宋_GB2312"/>
          <w:color w:val="auto"/>
          <w:sz w:val="32"/>
          <w:szCs w:val="32"/>
          <w:lang w:val="en-US" w:eastAsia="zh-CN"/>
        </w:rPr>
        <w:t>13</w:t>
      </w:r>
      <w:r>
        <w:rPr>
          <w:rFonts w:hint="eastAsia" w:ascii="仿宋_GB2312" w:hAnsi="宋体" w:eastAsia="仿宋_GB2312"/>
          <w:color w:val="auto"/>
          <w:sz w:val="32"/>
          <w:szCs w:val="32"/>
        </w:rPr>
        <w:t>人，占</w:t>
      </w:r>
      <w:r>
        <w:rPr>
          <w:rFonts w:hint="eastAsia" w:ascii="仿宋_GB2312" w:hAnsi="宋体" w:eastAsia="仿宋_GB2312"/>
          <w:color w:val="auto"/>
          <w:sz w:val="32"/>
          <w:szCs w:val="32"/>
          <w:lang w:val="en-US" w:eastAsia="zh-CN"/>
        </w:rPr>
        <w:t>13.00</w:t>
      </w:r>
      <w:r>
        <w:rPr>
          <w:rFonts w:hint="eastAsia" w:ascii="仿宋_GB2312" w:hAnsi="宋体" w:eastAsia="仿宋_GB2312"/>
          <w:color w:val="auto"/>
          <w:sz w:val="32"/>
          <w:szCs w:val="32"/>
        </w:rPr>
        <w:t>%，</w:t>
      </w:r>
      <w:r>
        <w:rPr>
          <w:rFonts w:hint="eastAsia" w:ascii="仿宋_GB2312" w:hAnsi="宋体" w:eastAsia="仿宋_GB2312"/>
          <w:color w:val="auto"/>
          <w:sz w:val="32"/>
          <w:szCs w:val="32"/>
          <w:lang w:eastAsia="zh-CN"/>
        </w:rPr>
        <w:t>“一般”</w:t>
      </w:r>
      <w:r>
        <w:rPr>
          <w:rFonts w:hint="eastAsia" w:ascii="仿宋_GB2312" w:hAnsi="宋体" w:eastAsia="仿宋_GB2312"/>
          <w:color w:val="auto"/>
          <w:sz w:val="32"/>
          <w:szCs w:val="32"/>
          <w:lang w:val="en-US" w:eastAsia="zh-CN"/>
        </w:rPr>
        <w:t>5人，占比5.00%，</w:t>
      </w:r>
      <w:r>
        <w:rPr>
          <w:rFonts w:hint="eastAsia" w:ascii="仿宋_GB2312" w:hAnsi="宋体" w:eastAsia="仿宋_GB2312"/>
          <w:color w:val="auto"/>
          <w:sz w:val="32"/>
          <w:szCs w:val="32"/>
        </w:rPr>
        <w:t>总体满意率为</w:t>
      </w:r>
      <w:r>
        <w:rPr>
          <w:rFonts w:hint="eastAsia" w:ascii="仿宋_GB2312" w:hAnsi="宋体" w:eastAsia="仿宋_GB2312"/>
          <w:color w:val="auto"/>
          <w:sz w:val="32"/>
          <w:szCs w:val="32"/>
          <w:lang w:val="en-US" w:eastAsia="zh-CN"/>
        </w:rPr>
        <w:t>95.00</w:t>
      </w:r>
      <w:r>
        <w:rPr>
          <w:rFonts w:hint="eastAsia" w:ascii="仿宋_GB2312" w:hAnsi="宋体" w:eastAsia="仿宋_GB2312"/>
          <w:color w:val="auto"/>
          <w:sz w:val="32"/>
          <w:szCs w:val="32"/>
        </w:rPr>
        <w:t>%</w:t>
      </w:r>
      <w:r>
        <w:rPr>
          <w:rFonts w:hint="eastAsia" w:ascii="仿宋_GB2312" w:hAnsi="宋体" w:eastAsia="仿宋_GB2312"/>
          <w:color w:val="auto"/>
          <w:sz w:val="32"/>
          <w:szCs w:val="32"/>
          <w:lang w:eastAsia="zh-CN"/>
        </w:rPr>
        <w:t>。整体而言，我院</w:t>
      </w:r>
      <w:r>
        <w:rPr>
          <w:rFonts w:hint="eastAsia" w:ascii="仿宋_GB2312" w:hAnsi="宋体" w:eastAsia="仿宋_GB2312"/>
          <w:color w:val="auto"/>
          <w:sz w:val="32"/>
          <w:szCs w:val="32"/>
          <w:lang w:val="en-US" w:eastAsia="zh-CN"/>
        </w:rPr>
        <w:t>2021届毕业生对我院就业创业工作评价较高（图8）。</w:t>
      </w:r>
    </w:p>
    <w:p>
      <w:pPr>
        <w:pStyle w:val="2"/>
        <w:jc w:val="center"/>
        <w:rPr>
          <w:rFonts w:hint="eastAsia" w:ascii="Times New Roman" w:hAnsi="Times New Roman" w:eastAsia="宋体" w:cs="Times New Roman"/>
          <w:color w:val="auto"/>
          <w:sz w:val="28"/>
          <w:szCs w:val="28"/>
          <w:lang w:eastAsia="zh-CN"/>
        </w:rPr>
      </w:pPr>
      <w:r>
        <w:drawing>
          <wp:inline distT="0" distB="0" distL="114300" distR="114300">
            <wp:extent cx="4572000" cy="2743200"/>
            <wp:effectExtent l="4445" t="4445" r="14605" b="1460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2"/>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eastAsia="zh-CN"/>
        </w:rPr>
        <w:t>五</w:t>
      </w:r>
      <w:r>
        <w:rPr>
          <w:rFonts w:hint="default" w:ascii="Times New Roman" w:hAnsi="Times New Roman" w:eastAsia="宋体" w:cs="Times New Roman"/>
          <w:color w:val="auto"/>
          <w:sz w:val="28"/>
          <w:szCs w:val="28"/>
        </w:rPr>
        <w:t>、毕业生就业创业工作</w:t>
      </w:r>
      <w:bookmarkEnd w:id="46"/>
      <w:bookmarkEnd w:id="47"/>
      <w:bookmarkEnd w:id="48"/>
      <w:bookmarkEnd w:id="49"/>
      <w:r>
        <w:rPr>
          <w:rFonts w:hint="default" w:ascii="Times New Roman" w:hAnsi="Times New Roman" w:eastAsia="宋体" w:cs="Times New Roman"/>
          <w:color w:val="auto"/>
          <w:sz w:val="28"/>
          <w:szCs w:val="28"/>
        </w:rPr>
        <w:t>举措</w:t>
      </w:r>
      <w:bookmarkEnd w:id="50"/>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color w:val="auto"/>
          <w:kern w:val="0"/>
          <w:sz w:val="28"/>
          <w:szCs w:val="28"/>
          <w:shd w:val="clear" w:fill="FFFFFF"/>
        </w:rPr>
      </w:pPr>
      <w:r>
        <w:rPr>
          <w:rFonts w:hint="eastAsia" w:ascii="宋体" w:hAnsi="宋体" w:eastAsia="宋体" w:cs="宋体"/>
          <w:color w:val="auto"/>
          <w:kern w:val="0"/>
          <w:sz w:val="28"/>
          <w:szCs w:val="28"/>
          <w:shd w:val="clear" w:fill="FFFFFF"/>
          <w:lang w:val="en-US" w:eastAsia="zh-CN"/>
        </w:rPr>
        <w:t>2021年在全国疫情发展不稳定的特殊情况下，为进一步做好“稳就业”工作，</w:t>
      </w:r>
      <w:r>
        <w:rPr>
          <w:rFonts w:hint="eastAsia" w:ascii="宋体" w:hAnsi="宋体" w:eastAsia="宋体" w:cs="宋体"/>
          <w:color w:val="auto"/>
          <w:kern w:val="0"/>
          <w:sz w:val="28"/>
          <w:szCs w:val="28"/>
          <w:shd w:val="clear" w:fill="FFFFFF"/>
        </w:rPr>
        <w:t>学院高度重视毕业生就业工作，紧紧围绕实现毕业生充分就业和不断提高就业质量的工作目标，全院群策群力，全力以赴</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坚持“</w:t>
      </w:r>
      <w:r>
        <w:rPr>
          <w:rFonts w:hint="eastAsia" w:ascii="宋体" w:hAnsi="宋体" w:eastAsia="宋体" w:cs="宋体"/>
          <w:color w:val="auto"/>
          <w:kern w:val="0"/>
          <w:sz w:val="28"/>
          <w:szCs w:val="28"/>
          <w:shd w:val="clear" w:fill="FFFFFF"/>
          <w:lang w:val="en-US" w:eastAsia="zh-CN"/>
        </w:rPr>
        <w:t>就业创业多元化</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val="en-US" w:eastAsia="zh-CN"/>
        </w:rPr>
        <w:t>市场开拓覆盖化</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val="en-US" w:eastAsia="zh-CN"/>
        </w:rPr>
        <w:t>人</w:t>
      </w:r>
      <w:r>
        <w:rPr>
          <w:rFonts w:hint="eastAsia" w:ascii="宋体" w:hAnsi="宋体" w:eastAsia="宋体" w:cs="宋体"/>
          <w:color w:val="auto"/>
          <w:kern w:val="0"/>
          <w:sz w:val="28"/>
          <w:szCs w:val="28"/>
          <w:shd w:val="clear" w:fill="FFFFFF"/>
        </w:rPr>
        <w:t>员参与</w:t>
      </w:r>
      <w:r>
        <w:rPr>
          <w:rFonts w:hint="eastAsia" w:ascii="宋体" w:hAnsi="宋体" w:eastAsia="宋体" w:cs="宋体"/>
          <w:color w:val="auto"/>
          <w:kern w:val="0"/>
          <w:sz w:val="28"/>
          <w:szCs w:val="28"/>
          <w:shd w:val="clear" w:fill="FFFFFF"/>
          <w:lang w:val="en-US" w:eastAsia="zh-CN"/>
        </w:rPr>
        <w:t>全员化</w:t>
      </w:r>
      <w:r>
        <w:rPr>
          <w:rFonts w:hint="eastAsia" w:ascii="宋体" w:hAnsi="宋体" w:eastAsia="宋体" w:cs="宋体"/>
          <w:color w:val="auto"/>
          <w:kern w:val="0"/>
          <w:sz w:val="28"/>
          <w:szCs w:val="28"/>
          <w:shd w:val="clear" w:fill="FFFFFF"/>
        </w:rPr>
        <w:t>”的原则，积极拓宽就业创业途径,以提高就业创业率为目标，推行就业工作目标管理，进一步强化思想共识，整合有效资源，构建长效机制，完善工作体系，有效提升就业创业指导服务工作的专业化水平，举全院之力促进毕业生高质量、充分就业。</w:t>
      </w:r>
      <w:r>
        <w:rPr>
          <w:rFonts w:hint="eastAsia" w:ascii="宋体" w:hAnsi="宋体" w:eastAsia="宋体" w:cs="宋体"/>
          <w:color w:val="auto"/>
          <w:kern w:val="0"/>
          <w:sz w:val="28"/>
          <w:szCs w:val="28"/>
          <w:shd w:val="clear" w:fill="FFFFFF"/>
          <w:lang w:val="en-US" w:eastAsia="zh-CN"/>
        </w:rPr>
        <w:t xml:space="preserve">针对 2021届毕业生的就业工作，具体工作举措主要有： </w:t>
      </w:r>
    </w:p>
    <w:p>
      <w:pPr>
        <w:pStyle w:val="3"/>
        <w:shd w:val="clear"/>
        <w:spacing w:before="0" w:after="0" w:line="360" w:lineRule="auto"/>
        <w:jc w:val="both"/>
        <w:rPr>
          <w:rFonts w:hint="eastAsia" w:ascii="宋体" w:hAnsi="宋体" w:eastAsia="宋体" w:cs="宋体"/>
          <w:color w:val="auto"/>
          <w:sz w:val="28"/>
          <w:szCs w:val="28"/>
        </w:rPr>
      </w:pPr>
      <w:bookmarkStart w:id="51" w:name="_Toc1669"/>
      <w:bookmarkStart w:id="52" w:name="_Toc25351"/>
      <w:bookmarkStart w:id="53" w:name="_Toc20135"/>
      <w:bookmarkStart w:id="54" w:name="_Toc3121"/>
      <w:r>
        <w:rPr>
          <w:rFonts w:hint="eastAsia" w:ascii="宋体" w:hAnsi="宋体" w:eastAsia="宋体" w:cs="宋体"/>
          <w:color w:val="auto"/>
          <w:sz w:val="28"/>
          <w:szCs w:val="28"/>
          <w:lang w:eastAsia="zh-CN"/>
        </w:rPr>
        <w:t>（一）</w:t>
      </w:r>
      <w:r>
        <w:rPr>
          <w:rFonts w:hint="eastAsia" w:ascii="宋体" w:hAnsi="宋体" w:eastAsia="宋体" w:cs="宋体"/>
          <w:color w:val="auto"/>
          <w:sz w:val="28"/>
          <w:szCs w:val="28"/>
        </w:rPr>
        <w:t>建立健全就业创业工作</w:t>
      </w:r>
      <w:bookmarkEnd w:id="51"/>
      <w:bookmarkEnd w:id="52"/>
      <w:bookmarkEnd w:id="53"/>
      <w:r>
        <w:rPr>
          <w:rFonts w:hint="eastAsia" w:ascii="宋体" w:hAnsi="宋体" w:eastAsia="宋体" w:cs="宋体"/>
          <w:color w:val="auto"/>
          <w:sz w:val="28"/>
          <w:szCs w:val="28"/>
        </w:rPr>
        <w:t>机制</w:t>
      </w:r>
      <w:bookmarkEnd w:id="54"/>
    </w:p>
    <w:p>
      <w:pPr>
        <w:ind w:left="105" w:right="0" w:firstLine="560"/>
        <w:jc w:val="both"/>
        <w:rPr>
          <w:rFonts w:hint="eastAsia" w:ascii="宋体" w:hAnsi="宋体" w:eastAsia="宋体" w:cs="宋体"/>
          <w:color w:val="auto"/>
          <w:sz w:val="28"/>
          <w:szCs w:val="28"/>
        </w:rPr>
      </w:pPr>
      <w:r>
        <w:rPr>
          <w:rFonts w:hint="eastAsia" w:ascii="宋体" w:hAnsi="宋体" w:eastAsia="宋体" w:cs="宋体"/>
          <w:color w:val="auto"/>
          <w:kern w:val="0"/>
          <w:sz w:val="28"/>
          <w:szCs w:val="28"/>
          <w:shd w:val="clear" w:fill="FFFFFF"/>
          <w:lang w:eastAsia="zh-CN"/>
        </w:rPr>
        <w:t>完善就业创业工作机制</w:t>
      </w:r>
      <w:r>
        <w:rPr>
          <w:rFonts w:hint="eastAsia" w:ascii="宋体" w:hAnsi="宋体" w:eastAsia="宋体" w:cs="宋体"/>
          <w:color w:val="auto"/>
          <w:kern w:val="0"/>
          <w:sz w:val="28"/>
          <w:szCs w:val="28"/>
          <w:shd w:val="clear" w:fill="FFFFFF"/>
        </w:rPr>
        <w:t>，明确就业创业工作目标、职责和任务。</w:t>
      </w:r>
      <w:r>
        <w:rPr>
          <w:rFonts w:hint="eastAsia" w:ascii="宋体" w:hAnsi="宋体" w:eastAsia="宋体" w:cs="宋体"/>
          <w:color w:val="auto"/>
          <w:kern w:val="0"/>
          <w:sz w:val="28"/>
          <w:szCs w:val="28"/>
          <w:shd w:val="clear" w:fill="FFFFFF"/>
          <w:lang w:eastAsia="zh-CN"/>
        </w:rPr>
        <w:t>前期</w:t>
      </w:r>
      <w:r>
        <w:rPr>
          <w:rFonts w:hint="eastAsia" w:ascii="宋体" w:hAnsi="宋体" w:eastAsia="宋体" w:cs="宋体"/>
          <w:color w:val="auto"/>
          <w:kern w:val="0"/>
          <w:sz w:val="28"/>
          <w:szCs w:val="28"/>
          <w:shd w:val="clear" w:fill="FFFFFF"/>
        </w:rPr>
        <w:t>成立了以院长</w:t>
      </w:r>
      <w:r>
        <w:rPr>
          <w:rFonts w:hint="eastAsia" w:ascii="宋体" w:hAnsi="宋体" w:eastAsia="宋体" w:cs="宋体"/>
          <w:color w:val="auto"/>
          <w:kern w:val="0"/>
          <w:sz w:val="28"/>
          <w:szCs w:val="28"/>
          <w:shd w:val="clear" w:fill="FFFFFF"/>
          <w:lang w:val="en-US" w:eastAsia="zh-CN"/>
        </w:rPr>
        <w:t>杨喜</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eastAsia="zh-CN"/>
        </w:rPr>
        <w:t>院党委书记黄生祥</w:t>
      </w:r>
      <w:r>
        <w:rPr>
          <w:rFonts w:hint="eastAsia" w:ascii="宋体" w:hAnsi="宋体" w:eastAsia="宋体" w:cs="宋体"/>
          <w:color w:val="auto"/>
          <w:kern w:val="0"/>
          <w:sz w:val="28"/>
          <w:szCs w:val="28"/>
          <w:shd w:val="clear" w:fill="FFFFFF"/>
        </w:rPr>
        <w:t>为组长，</w:t>
      </w:r>
      <w:r>
        <w:rPr>
          <w:rFonts w:hint="eastAsia" w:ascii="宋体" w:hAnsi="宋体" w:eastAsia="宋体" w:cs="宋体"/>
          <w:color w:val="auto"/>
          <w:kern w:val="0"/>
          <w:sz w:val="28"/>
          <w:szCs w:val="28"/>
          <w:shd w:val="clear" w:fill="FFFFFF"/>
          <w:lang w:val="en-US" w:eastAsia="zh-CN"/>
        </w:rPr>
        <w:t>院</w:t>
      </w:r>
      <w:r>
        <w:rPr>
          <w:rFonts w:hint="eastAsia" w:ascii="宋体" w:hAnsi="宋体" w:eastAsia="宋体" w:cs="宋体"/>
          <w:color w:val="auto"/>
          <w:kern w:val="0"/>
          <w:sz w:val="28"/>
          <w:szCs w:val="28"/>
          <w:shd w:val="clear" w:fill="FFFFFF"/>
        </w:rPr>
        <w:t>党委</w:t>
      </w:r>
      <w:r>
        <w:rPr>
          <w:rFonts w:hint="eastAsia" w:ascii="宋体" w:hAnsi="宋体" w:eastAsia="宋体" w:cs="宋体"/>
          <w:color w:val="auto"/>
          <w:kern w:val="0"/>
          <w:sz w:val="28"/>
          <w:szCs w:val="28"/>
          <w:shd w:val="clear" w:fill="FFFFFF"/>
          <w:lang w:val="en-US" w:eastAsia="zh-CN"/>
        </w:rPr>
        <w:t>副</w:t>
      </w:r>
      <w:r>
        <w:rPr>
          <w:rFonts w:hint="eastAsia" w:ascii="宋体" w:hAnsi="宋体" w:eastAsia="宋体" w:cs="宋体"/>
          <w:color w:val="auto"/>
          <w:kern w:val="0"/>
          <w:sz w:val="28"/>
          <w:szCs w:val="28"/>
          <w:shd w:val="clear" w:fill="FFFFFF"/>
        </w:rPr>
        <w:t>书记</w:t>
      </w:r>
      <w:r>
        <w:rPr>
          <w:rFonts w:hint="eastAsia" w:ascii="宋体" w:hAnsi="宋体" w:eastAsia="宋体" w:cs="宋体"/>
          <w:color w:val="auto"/>
          <w:kern w:val="0"/>
          <w:sz w:val="28"/>
          <w:szCs w:val="28"/>
          <w:shd w:val="clear" w:fill="FFFFFF"/>
          <w:lang w:val="en-US" w:eastAsia="zh-CN"/>
        </w:rPr>
        <w:t>田清旺</w:t>
      </w:r>
      <w:r>
        <w:rPr>
          <w:rFonts w:hint="eastAsia" w:ascii="宋体" w:hAnsi="宋体" w:eastAsia="宋体" w:cs="宋体"/>
          <w:color w:val="auto"/>
          <w:kern w:val="0"/>
          <w:sz w:val="28"/>
          <w:szCs w:val="28"/>
          <w:shd w:val="clear" w:fill="FFFFFF"/>
        </w:rPr>
        <w:t>为</w:t>
      </w:r>
      <w:r>
        <w:rPr>
          <w:rFonts w:hint="eastAsia" w:ascii="宋体" w:hAnsi="宋体" w:eastAsia="宋体" w:cs="宋体"/>
          <w:color w:val="auto"/>
          <w:kern w:val="0"/>
          <w:sz w:val="28"/>
          <w:szCs w:val="28"/>
          <w:shd w:val="clear" w:fill="FFFFFF"/>
          <w:lang w:eastAsia="zh-CN"/>
        </w:rPr>
        <w:t>副</w:t>
      </w:r>
      <w:r>
        <w:rPr>
          <w:rFonts w:hint="eastAsia" w:ascii="宋体" w:hAnsi="宋体" w:eastAsia="宋体" w:cs="宋体"/>
          <w:color w:val="auto"/>
          <w:kern w:val="0"/>
          <w:sz w:val="28"/>
          <w:szCs w:val="28"/>
          <w:shd w:val="clear" w:fill="FFFFFF"/>
        </w:rPr>
        <w:t>组长</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以教学系部主任、就业专干、教务秘书、辅导员、毕业班班主任为成员的毕业生就业工作领导小组。</w:t>
      </w:r>
      <w:r>
        <w:rPr>
          <w:rFonts w:hint="eastAsia" w:ascii="宋体" w:hAnsi="宋体" w:eastAsia="宋体" w:cs="宋体"/>
          <w:color w:val="auto"/>
          <w:kern w:val="0"/>
          <w:sz w:val="28"/>
          <w:szCs w:val="28"/>
          <w:shd w:val="clear" w:fill="FFFFFF"/>
          <w:lang w:val="en-US" w:eastAsia="zh-CN"/>
        </w:rPr>
        <w:t>2021年9月，成立了以</w:t>
      </w:r>
      <w:r>
        <w:rPr>
          <w:rFonts w:hint="eastAsia" w:ascii="宋体" w:hAnsi="宋体" w:eastAsia="宋体" w:cs="宋体"/>
          <w:color w:val="auto"/>
          <w:kern w:val="0"/>
          <w:sz w:val="28"/>
          <w:szCs w:val="28"/>
          <w:shd w:val="clear" w:fill="FFFFFF"/>
        </w:rPr>
        <w:t>院长</w:t>
      </w:r>
      <w:r>
        <w:rPr>
          <w:rFonts w:hint="eastAsia" w:ascii="宋体" w:hAnsi="宋体" w:eastAsia="宋体" w:cs="宋体"/>
          <w:color w:val="auto"/>
          <w:kern w:val="0"/>
          <w:sz w:val="28"/>
          <w:szCs w:val="28"/>
          <w:shd w:val="clear" w:fill="FFFFFF"/>
          <w:lang w:val="en-US" w:eastAsia="zh-CN"/>
        </w:rPr>
        <w:t>杨喜、院党委副书记王伟为组长的工作领导小组</w:t>
      </w:r>
      <w:r>
        <w:rPr>
          <w:rFonts w:hint="eastAsia" w:ascii="宋体" w:hAnsi="宋体" w:eastAsia="宋体" w:cs="宋体"/>
          <w:color w:val="auto"/>
          <w:kern w:val="0"/>
          <w:sz w:val="28"/>
          <w:szCs w:val="28"/>
          <w:shd w:val="clear" w:fill="FFFFFF"/>
          <w:lang w:eastAsia="zh-CN"/>
        </w:rPr>
        <w:t>，召开了党政领导、班主任专题会议，对就业工作定期分析，工作部署。</w:t>
      </w:r>
      <w:r>
        <w:rPr>
          <w:rFonts w:hint="eastAsia" w:ascii="宋体" w:hAnsi="宋体" w:eastAsia="宋体" w:cs="宋体"/>
          <w:color w:val="auto"/>
          <w:kern w:val="0"/>
          <w:sz w:val="28"/>
          <w:szCs w:val="28"/>
          <w:shd w:val="clear" w:fill="FFFFFF"/>
          <w:lang w:val="en-US" w:eastAsia="zh-CN"/>
        </w:rPr>
        <w:t>完善</w:t>
      </w:r>
      <w:r>
        <w:rPr>
          <w:rFonts w:hint="eastAsia" w:ascii="宋体" w:hAnsi="宋体" w:eastAsia="宋体" w:cs="宋体"/>
          <w:color w:val="auto"/>
          <w:sz w:val="28"/>
          <w:szCs w:val="28"/>
        </w:rPr>
        <w:t>了《毕业生就业工作方案》、《就业市场建设方案》、《就业工作考核办法》以及</w:t>
      </w:r>
      <w:r>
        <w:rPr>
          <w:rFonts w:hint="eastAsia" w:ascii="宋体" w:hAnsi="宋体" w:eastAsia="宋体" w:cs="宋体"/>
          <w:color w:val="auto"/>
          <w:sz w:val="28"/>
          <w:szCs w:val="28"/>
          <w:lang w:val="en-US" w:eastAsia="zh-CN"/>
        </w:rPr>
        <w:t>2021</w:t>
      </w:r>
      <w:r>
        <w:rPr>
          <w:rFonts w:hint="eastAsia" w:ascii="宋体" w:hAnsi="宋体" w:eastAsia="宋体" w:cs="宋体"/>
          <w:color w:val="auto"/>
          <w:sz w:val="28"/>
          <w:szCs w:val="28"/>
        </w:rPr>
        <w:t>年度</w:t>
      </w:r>
      <w:r>
        <w:rPr>
          <w:rFonts w:hint="eastAsia" w:ascii="宋体" w:hAnsi="宋体" w:eastAsia="宋体" w:cs="宋体"/>
          <w:color w:val="auto"/>
          <w:sz w:val="28"/>
          <w:szCs w:val="28"/>
          <w:lang w:eastAsia="zh-CN"/>
        </w:rPr>
        <w:t>就业创业</w:t>
      </w:r>
      <w:r>
        <w:rPr>
          <w:rFonts w:hint="eastAsia" w:ascii="宋体" w:hAnsi="宋体" w:eastAsia="宋体" w:cs="宋体"/>
          <w:color w:val="auto"/>
          <w:sz w:val="28"/>
          <w:szCs w:val="28"/>
        </w:rPr>
        <w:t>工作计划，将毕业生就业工作与责任考核、津贴和评优挂钩，列入相关考核范围中，同时要求</w:t>
      </w:r>
      <w:r>
        <w:rPr>
          <w:rFonts w:hint="eastAsia" w:ascii="宋体" w:hAnsi="宋体" w:eastAsia="宋体" w:cs="宋体"/>
          <w:color w:val="auto"/>
          <w:kern w:val="0"/>
          <w:sz w:val="28"/>
          <w:szCs w:val="28"/>
          <w:shd w:val="clear" w:fill="FFFFFF"/>
        </w:rPr>
        <w:t>就业创业工作专职人员、辅导员、任课教师积极服务毕业生就业工作，从而形成了全员参与的局面</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学院领导主动出任毕业生就业创业导师，在毕业生离校前的就业动员大会上，以亲身经历、经验为案例，对全体毕业生作就业创业教育；专业教师及就业指导教师结合就业岗位要求及就业形势，全力指导毕业生就业；全体教职工在就业指导中心的指导下充分利用自己的社会资源，为毕业生找岗位，竭尽全力帮扶贫困学生就业。</w:t>
      </w:r>
    </w:p>
    <w:p>
      <w:pPr>
        <w:pStyle w:val="3"/>
        <w:spacing w:before="0" w:after="0" w:line="360" w:lineRule="auto"/>
        <w:jc w:val="both"/>
        <w:rPr>
          <w:rFonts w:hint="eastAsia" w:ascii="宋体" w:hAnsi="宋体" w:eastAsia="宋体" w:cs="宋体"/>
          <w:color w:val="auto"/>
          <w:sz w:val="28"/>
          <w:szCs w:val="28"/>
        </w:rPr>
      </w:pPr>
      <w:bookmarkStart w:id="55" w:name="_Toc2012"/>
      <w:r>
        <w:rPr>
          <w:rFonts w:hint="eastAsia" w:ascii="宋体" w:hAnsi="宋体" w:eastAsia="宋体" w:cs="宋体"/>
          <w:color w:val="auto"/>
          <w:sz w:val="28"/>
          <w:szCs w:val="28"/>
          <w:lang w:eastAsia="zh-CN"/>
        </w:rPr>
        <w:t>（二）</w:t>
      </w:r>
      <w:r>
        <w:rPr>
          <w:rFonts w:hint="eastAsia" w:ascii="宋体" w:hAnsi="宋体" w:eastAsia="宋体" w:cs="宋体"/>
          <w:color w:val="auto"/>
          <w:sz w:val="28"/>
          <w:szCs w:val="28"/>
        </w:rPr>
        <w:t>构建完善的职业发展与就业创业教育体系</w:t>
      </w:r>
      <w:bookmarkEnd w:id="55"/>
    </w:p>
    <w:p>
      <w:pPr>
        <w:ind w:left="0" w:right="0" w:firstLine="560"/>
        <w:jc w:val="both"/>
        <w:rPr>
          <w:rFonts w:hint="eastAsia" w:ascii="宋体" w:hAnsi="宋体" w:eastAsia="宋体" w:cs="宋体"/>
          <w:sz w:val="28"/>
          <w:szCs w:val="28"/>
        </w:rPr>
      </w:pPr>
      <w:r>
        <w:rPr>
          <w:rFonts w:hint="eastAsia" w:ascii="宋体" w:hAnsi="宋体" w:eastAsia="宋体" w:cs="宋体"/>
          <w:color w:val="auto"/>
          <w:kern w:val="0"/>
          <w:sz w:val="28"/>
          <w:szCs w:val="28"/>
          <w:shd w:val="clear" w:fill="FFFFFF"/>
        </w:rPr>
        <w:t>学院成了就业指导教研室，党委副书记</w:t>
      </w:r>
      <w:r>
        <w:rPr>
          <w:rFonts w:hint="eastAsia" w:ascii="宋体" w:hAnsi="宋体" w:eastAsia="宋体" w:cs="宋体"/>
          <w:color w:val="auto"/>
          <w:kern w:val="0"/>
          <w:sz w:val="28"/>
          <w:szCs w:val="28"/>
          <w:shd w:val="clear" w:fill="FFFFFF"/>
          <w:lang w:val="en-US" w:eastAsia="zh-CN"/>
        </w:rPr>
        <w:t>王伟</w:t>
      </w:r>
      <w:r>
        <w:rPr>
          <w:rFonts w:hint="eastAsia" w:ascii="宋体" w:hAnsi="宋体" w:eastAsia="宋体" w:cs="宋体"/>
          <w:color w:val="auto"/>
          <w:kern w:val="0"/>
          <w:sz w:val="28"/>
          <w:szCs w:val="28"/>
          <w:shd w:val="clear" w:fill="FFFFFF"/>
        </w:rPr>
        <w:t>担任教研室主任，就业专干担任办公室主任，辅导员任专职任课教师，各系主任为兼职任课教师。</w:t>
      </w:r>
      <w:r>
        <w:rPr>
          <w:rFonts w:hint="eastAsia" w:ascii="宋体" w:hAnsi="宋体" w:eastAsia="宋体" w:cs="宋体"/>
          <w:color w:val="auto"/>
          <w:sz w:val="28"/>
          <w:szCs w:val="28"/>
        </w:rPr>
        <w:t>学院</w:t>
      </w:r>
      <w:r>
        <w:rPr>
          <w:rFonts w:hint="eastAsia" w:ascii="宋体" w:hAnsi="宋体" w:eastAsia="宋体" w:cs="宋体"/>
          <w:color w:val="auto"/>
          <w:kern w:val="0"/>
          <w:sz w:val="28"/>
          <w:szCs w:val="28"/>
          <w:shd w:val="clear" w:fill="FFFFFF"/>
        </w:rPr>
        <w:t>注重就业创业师资队伍建设，致力于培育一支专兼结合的师资队伍和创业指导专家团队。20</w:t>
      </w:r>
      <w:r>
        <w:rPr>
          <w:rFonts w:hint="eastAsia" w:ascii="宋体" w:hAnsi="宋体" w:eastAsia="宋体" w:cs="宋体"/>
          <w:color w:val="auto"/>
          <w:kern w:val="0"/>
          <w:sz w:val="28"/>
          <w:szCs w:val="28"/>
          <w:shd w:val="clear" w:fill="FFFFFF"/>
          <w:lang w:val="en-US" w:eastAsia="zh-CN"/>
        </w:rPr>
        <w:t>21</w:t>
      </w:r>
      <w:r>
        <w:rPr>
          <w:rFonts w:hint="eastAsia" w:ascii="宋体" w:hAnsi="宋体" w:eastAsia="宋体" w:cs="宋体"/>
          <w:color w:val="auto"/>
          <w:kern w:val="0"/>
          <w:sz w:val="28"/>
          <w:szCs w:val="28"/>
          <w:shd w:val="clear" w:fill="FFFFFF"/>
        </w:rPr>
        <w:t>年，我院就业创业指导老师</w:t>
      </w:r>
      <w:r>
        <w:rPr>
          <w:rFonts w:hint="eastAsia" w:ascii="宋体" w:hAnsi="宋体" w:eastAsia="宋体" w:cs="宋体"/>
          <w:color w:val="auto"/>
          <w:kern w:val="0"/>
          <w:sz w:val="28"/>
          <w:szCs w:val="28"/>
          <w:shd w:val="clear" w:fill="FFFFFF"/>
          <w:lang w:val="en-US" w:eastAsia="zh-CN"/>
        </w:rPr>
        <w:t>何剑</w:t>
      </w:r>
      <w:r>
        <w:rPr>
          <w:rFonts w:hint="eastAsia" w:ascii="宋体" w:hAnsi="宋体" w:eastAsia="宋体" w:cs="宋体"/>
          <w:color w:val="auto"/>
          <w:kern w:val="0"/>
          <w:sz w:val="28"/>
          <w:szCs w:val="28"/>
          <w:shd w:val="clear" w:fill="FFFFFF"/>
        </w:rPr>
        <w:t>先后前往湘西州</w:t>
      </w:r>
      <w:r>
        <w:rPr>
          <w:rFonts w:hint="eastAsia" w:ascii="宋体" w:hAnsi="宋体" w:eastAsia="宋体" w:cs="宋体"/>
          <w:color w:val="auto"/>
          <w:kern w:val="0"/>
          <w:sz w:val="28"/>
          <w:szCs w:val="28"/>
          <w:shd w:val="clear" w:fill="FFFFFF"/>
          <w:lang w:eastAsia="zh-CN"/>
        </w:rPr>
        <w:t>经开区</w:t>
      </w:r>
      <w:r>
        <w:rPr>
          <w:rFonts w:hint="eastAsia" w:ascii="宋体" w:hAnsi="宋体" w:eastAsia="宋体" w:cs="宋体"/>
          <w:color w:val="auto"/>
          <w:kern w:val="0"/>
          <w:sz w:val="28"/>
          <w:szCs w:val="28"/>
          <w:shd w:val="clear" w:fill="FFFFFF"/>
        </w:rPr>
        <w:t>参加创业指导</w:t>
      </w:r>
      <w:r>
        <w:rPr>
          <w:rFonts w:hint="eastAsia" w:ascii="宋体" w:hAnsi="宋体" w:eastAsia="宋体" w:cs="宋体"/>
          <w:color w:val="auto"/>
          <w:kern w:val="0"/>
          <w:sz w:val="28"/>
          <w:szCs w:val="28"/>
          <w:shd w:val="clear" w:fill="FFFFFF"/>
          <w:lang w:eastAsia="zh-CN"/>
        </w:rPr>
        <w:t>老</w:t>
      </w:r>
      <w:r>
        <w:rPr>
          <w:rFonts w:hint="eastAsia" w:ascii="宋体" w:hAnsi="宋体" w:eastAsia="宋体" w:cs="宋体"/>
          <w:color w:val="auto"/>
          <w:kern w:val="0"/>
          <w:sz w:val="28"/>
          <w:szCs w:val="28"/>
          <w:shd w:val="clear" w:fill="FFFFFF"/>
        </w:rPr>
        <w:t>师培训。深入开展创新创业教育，学院面向全体学生开设了《创业基础》、《大学生</w:t>
      </w:r>
      <w:r>
        <w:rPr>
          <w:rFonts w:hint="eastAsia" w:ascii="宋体" w:hAnsi="宋体" w:eastAsia="宋体" w:cs="宋体"/>
          <w:color w:val="auto"/>
          <w:kern w:val="0"/>
          <w:sz w:val="28"/>
          <w:szCs w:val="28"/>
          <w:shd w:val="clear" w:fill="FFFFFF"/>
          <w:lang w:eastAsia="zh-CN"/>
        </w:rPr>
        <w:t>职业规划</w:t>
      </w:r>
      <w:r>
        <w:rPr>
          <w:rFonts w:hint="eastAsia" w:ascii="宋体" w:hAnsi="宋体" w:eastAsia="宋体" w:cs="宋体"/>
          <w:color w:val="auto"/>
          <w:kern w:val="0"/>
          <w:sz w:val="28"/>
          <w:szCs w:val="28"/>
          <w:shd w:val="clear" w:fill="FFFFFF"/>
        </w:rPr>
        <w:t>》、《大学生就业</w:t>
      </w:r>
      <w:r>
        <w:rPr>
          <w:rFonts w:hint="eastAsia" w:ascii="宋体" w:hAnsi="宋体" w:eastAsia="宋体" w:cs="宋体"/>
          <w:color w:val="auto"/>
          <w:kern w:val="0"/>
          <w:sz w:val="28"/>
          <w:szCs w:val="28"/>
          <w:shd w:val="clear" w:fill="FFFFFF"/>
          <w:lang w:eastAsia="zh-CN"/>
        </w:rPr>
        <w:t>指导</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lang w:val="en-US" w:eastAsia="zh-CN"/>
        </w:rPr>
        <w:t>SYB创业培训课</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等课程，面向新生开设专业导论课程，帮助学生认识专业特点及将来职业方向，增强学习专业的自觉性，确定努力方向和目标</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积极开展大学生创新创业培训，20</w:t>
      </w:r>
      <w:r>
        <w:rPr>
          <w:rFonts w:hint="eastAsia" w:ascii="宋体" w:hAnsi="宋体" w:eastAsia="宋体" w:cs="宋体"/>
          <w:color w:val="auto"/>
          <w:kern w:val="0"/>
          <w:sz w:val="28"/>
          <w:szCs w:val="28"/>
          <w:shd w:val="clear" w:fill="FFFFFF"/>
          <w:lang w:val="en-US" w:eastAsia="zh-CN"/>
        </w:rPr>
        <w:t>21</w:t>
      </w:r>
      <w:r>
        <w:rPr>
          <w:rFonts w:hint="eastAsia" w:ascii="宋体" w:hAnsi="宋体" w:eastAsia="宋体" w:cs="宋体"/>
          <w:color w:val="auto"/>
          <w:kern w:val="0"/>
          <w:sz w:val="28"/>
          <w:szCs w:val="28"/>
          <w:shd w:val="clear" w:fill="FFFFFF"/>
        </w:rPr>
        <w:t>年</w:t>
      </w:r>
      <w:r>
        <w:rPr>
          <w:rFonts w:hint="eastAsia" w:ascii="宋体" w:hAnsi="宋体" w:eastAsia="宋体" w:cs="宋体"/>
          <w:color w:val="auto"/>
          <w:kern w:val="0"/>
          <w:sz w:val="28"/>
          <w:szCs w:val="28"/>
          <w:shd w:val="clear" w:fill="FFFFFF"/>
          <w:lang w:val="en-US" w:eastAsia="zh-CN"/>
        </w:rPr>
        <w:t>6月</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eastAsia="zh-CN"/>
        </w:rPr>
        <w:t>在学校的组织下，</w:t>
      </w:r>
      <w:r>
        <w:rPr>
          <w:rFonts w:hint="eastAsia" w:ascii="宋体" w:hAnsi="宋体" w:eastAsia="宋体" w:cs="宋体"/>
          <w:color w:val="auto"/>
          <w:kern w:val="0"/>
          <w:sz w:val="28"/>
          <w:szCs w:val="28"/>
          <w:shd w:val="clear" w:fill="FFFFFF"/>
        </w:rPr>
        <w:t>学院开展了</w:t>
      </w:r>
      <w:r>
        <w:rPr>
          <w:rFonts w:hint="eastAsia" w:ascii="宋体" w:hAnsi="宋体" w:eastAsia="宋体" w:cs="宋体"/>
          <w:color w:val="auto"/>
          <w:kern w:val="0"/>
          <w:sz w:val="28"/>
          <w:szCs w:val="28"/>
          <w:shd w:val="clear" w:fill="FFFFFF"/>
          <w:lang w:eastAsia="zh-CN"/>
        </w:rPr>
        <w:t>为期一周的</w:t>
      </w:r>
      <w:r>
        <w:rPr>
          <w:rFonts w:hint="eastAsia" w:ascii="宋体" w:hAnsi="宋体" w:eastAsia="宋体" w:cs="宋体"/>
          <w:color w:val="auto"/>
          <w:kern w:val="0"/>
          <w:sz w:val="28"/>
          <w:szCs w:val="28"/>
          <w:shd w:val="clear" w:fill="FFFFFF"/>
          <w:lang w:val="en-US" w:eastAsia="zh-CN"/>
        </w:rPr>
        <w:t>模拟实训</w:t>
      </w:r>
      <w:r>
        <w:rPr>
          <w:rFonts w:hint="eastAsia" w:ascii="宋体" w:hAnsi="宋体" w:eastAsia="宋体" w:cs="宋体"/>
          <w:color w:val="auto"/>
          <w:kern w:val="0"/>
          <w:sz w:val="28"/>
          <w:szCs w:val="28"/>
          <w:shd w:val="clear" w:fill="FFFFFF"/>
          <w:lang w:eastAsia="zh-CN"/>
        </w:rPr>
        <w:t>班</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val="en-US" w:eastAsia="zh-CN"/>
        </w:rPr>
        <w:t>30余名毕业生参与了本次培训，</w:t>
      </w:r>
      <w:r>
        <w:rPr>
          <w:rFonts w:hint="eastAsia" w:ascii="宋体" w:hAnsi="宋体" w:eastAsia="宋体" w:cs="宋体"/>
          <w:color w:val="auto"/>
          <w:kern w:val="0"/>
          <w:sz w:val="28"/>
          <w:szCs w:val="28"/>
          <w:shd w:val="clear" w:fill="FFFFFF"/>
          <w:lang w:eastAsia="zh-CN"/>
        </w:rPr>
        <w:t>增强毕业生</w:t>
      </w:r>
      <w:r>
        <w:rPr>
          <w:rFonts w:hint="eastAsia" w:ascii="宋体" w:hAnsi="宋体" w:eastAsia="宋体" w:cs="宋体"/>
          <w:color w:val="auto"/>
          <w:kern w:val="0"/>
          <w:sz w:val="28"/>
          <w:szCs w:val="28"/>
          <w:shd w:val="clear" w:fill="FFFFFF"/>
        </w:rPr>
        <w:t>创新创业意识，大学生创新创业能力逐步提升。</w:t>
      </w:r>
    </w:p>
    <w:p>
      <w:pPr>
        <w:pStyle w:val="3"/>
        <w:spacing w:before="0" w:after="0" w:line="360" w:lineRule="auto"/>
        <w:jc w:val="both"/>
        <w:rPr>
          <w:rFonts w:hint="eastAsia" w:ascii="宋体" w:hAnsi="宋体" w:eastAsia="宋体" w:cs="宋体"/>
          <w:color w:val="auto"/>
          <w:sz w:val="28"/>
          <w:szCs w:val="28"/>
        </w:rPr>
      </w:pPr>
      <w:bookmarkStart w:id="56" w:name="_Toc31553"/>
      <w:r>
        <w:rPr>
          <w:rFonts w:hint="eastAsia" w:ascii="宋体" w:hAnsi="宋体" w:eastAsia="宋体" w:cs="宋体"/>
          <w:color w:val="auto"/>
          <w:sz w:val="28"/>
          <w:szCs w:val="28"/>
          <w:lang w:eastAsia="zh-CN"/>
        </w:rPr>
        <w:t>（三）</w:t>
      </w:r>
      <w:r>
        <w:rPr>
          <w:rFonts w:hint="eastAsia" w:ascii="宋体" w:hAnsi="宋体" w:eastAsia="宋体" w:cs="宋体"/>
          <w:color w:val="auto"/>
          <w:sz w:val="28"/>
          <w:szCs w:val="28"/>
        </w:rPr>
        <w:t>创新人才培养模式</w:t>
      </w:r>
      <w:bookmarkEnd w:id="56"/>
    </w:p>
    <w:p>
      <w:pPr>
        <w:keepNext w:val="0"/>
        <w:keepLines w:val="0"/>
        <w:widowControl/>
        <w:suppressLineNumbers w:val="0"/>
        <w:ind w:firstLine="560" w:firstLineChars="200"/>
        <w:jc w:val="both"/>
        <w:rPr>
          <w:rFonts w:hint="eastAsia" w:ascii="宋体" w:hAnsi="宋体" w:eastAsia="宋体" w:cs="宋体"/>
          <w:color w:val="auto"/>
          <w:kern w:val="0"/>
          <w:sz w:val="28"/>
          <w:szCs w:val="28"/>
          <w:shd w:val="clear" w:fill="FFFFFF"/>
        </w:rPr>
      </w:pPr>
      <w:bookmarkStart w:id="57" w:name="_Toc29587"/>
      <w:r>
        <w:rPr>
          <w:rFonts w:hint="eastAsia" w:ascii="宋体" w:hAnsi="宋体" w:eastAsia="宋体" w:cs="宋体"/>
          <w:color w:val="auto"/>
          <w:kern w:val="0"/>
          <w:sz w:val="28"/>
          <w:szCs w:val="28"/>
          <w:shd w:val="clear" w:fill="FFFFFF"/>
          <w:lang w:eastAsia="zh-CN"/>
        </w:rPr>
        <w:t>为鼓励我院毕业生创新创业，学院建立了</w:t>
      </w:r>
      <w:r>
        <w:rPr>
          <w:rFonts w:hint="eastAsia" w:ascii="宋体" w:hAnsi="宋体" w:eastAsia="宋体" w:cs="宋体"/>
          <w:color w:val="auto"/>
          <w:kern w:val="0"/>
          <w:sz w:val="28"/>
          <w:szCs w:val="28"/>
          <w:shd w:val="clear" w:fill="FFFFFF"/>
        </w:rPr>
        <w:t>湖南省电子信息类专业校企合作创新创业教育基地</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该省级基地着眼于新形势下的专业综合改革和创新创业教育，依托</w:t>
      </w:r>
      <w:r>
        <w:rPr>
          <w:rFonts w:hint="eastAsia" w:ascii="宋体" w:hAnsi="宋体" w:eastAsia="宋体" w:cs="宋体"/>
          <w:color w:val="auto"/>
          <w:kern w:val="0"/>
          <w:sz w:val="28"/>
          <w:szCs w:val="28"/>
          <w:shd w:val="clear" w:fill="FFFFFF"/>
          <w:lang w:eastAsia="zh-CN"/>
        </w:rPr>
        <w:t>千锋互联科技有限责任公司、</w:t>
      </w:r>
      <w:r>
        <w:rPr>
          <w:rFonts w:hint="eastAsia" w:ascii="宋体" w:hAnsi="宋体" w:eastAsia="宋体" w:cs="宋体"/>
          <w:color w:val="auto"/>
          <w:kern w:val="0"/>
          <w:sz w:val="28"/>
          <w:szCs w:val="28"/>
          <w:shd w:val="clear" w:fill="FFFFFF"/>
        </w:rPr>
        <w:t>时代达内科技集团</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lang w:val="en-US" w:eastAsia="zh-CN" w:bidi="ar"/>
        </w:rPr>
        <w:t>湖南一树网络科技有限公司</w:t>
      </w:r>
      <w:r>
        <w:rPr>
          <w:rFonts w:hint="eastAsia" w:ascii="宋体" w:hAnsi="宋体" w:eastAsia="宋体" w:cs="宋体"/>
          <w:color w:val="auto"/>
          <w:kern w:val="0"/>
          <w:sz w:val="28"/>
          <w:szCs w:val="28"/>
          <w:shd w:val="clear" w:fill="FFFFFF"/>
        </w:rPr>
        <w:t>等</w:t>
      </w:r>
      <w:r>
        <w:rPr>
          <w:rFonts w:hint="eastAsia" w:ascii="宋体" w:hAnsi="宋体" w:eastAsia="宋体" w:cs="宋体"/>
          <w:color w:val="auto"/>
          <w:kern w:val="0"/>
          <w:sz w:val="28"/>
          <w:szCs w:val="28"/>
          <w:shd w:val="clear" w:fill="FFFFFF"/>
          <w:lang w:val="en-US" w:eastAsia="zh-CN"/>
        </w:rPr>
        <w:t>5</w:t>
      </w:r>
      <w:r>
        <w:rPr>
          <w:rFonts w:hint="eastAsia" w:ascii="宋体" w:hAnsi="宋体" w:eastAsia="宋体" w:cs="宋体"/>
          <w:color w:val="auto"/>
          <w:kern w:val="0"/>
          <w:sz w:val="28"/>
          <w:szCs w:val="28"/>
          <w:shd w:val="clear" w:fill="FFFFFF"/>
        </w:rPr>
        <w:t>个校外实习基地，全面深化校企合作，以“大数据技术”、“移动互联技术”、“无线通信网络优化”、“嵌入式与物联网技术”为主要建设方向，力争将基地打造成服务于区域信息化建设与经济转型升级发展的创新性实践型人才培养的摇篮，为区域经济社会发展做出更大的贡献。</w:t>
      </w:r>
    </w:p>
    <w:p>
      <w:pPr>
        <w:pStyle w:val="3"/>
        <w:spacing w:before="0" w:after="0" w:line="360" w:lineRule="auto"/>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（四）</w:t>
      </w:r>
      <w:r>
        <w:rPr>
          <w:rFonts w:hint="eastAsia" w:ascii="宋体" w:hAnsi="宋体" w:eastAsia="宋体" w:cs="宋体"/>
          <w:color w:val="auto"/>
          <w:sz w:val="28"/>
          <w:szCs w:val="28"/>
        </w:rPr>
        <w:t>积极开拓就业市场</w:t>
      </w:r>
      <w:bookmarkEnd w:id="57"/>
    </w:p>
    <w:p>
      <w:pPr>
        <w:ind w:left="0" w:right="0" w:firstLine="560"/>
        <w:jc w:val="both"/>
        <w:rPr>
          <w:rFonts w:hint="eastAsia" w:ascii="宋体" w:hAnsi="宋体" w:eastAsia="宋体" w:cs="宋体"/>
          <w:color w:val="auto"/>
          <w:sz w:val="28"/>
          <w:szCs w:val="28"/>
        </w:rPr>
      </w:pPr>
      <w:r>
        <w:rPr>
          <w:rFonts w:hint="eastAsia" w:ascii="宋体" w:hAnsi="宋体" w:eastAsia="宋体" w:cs="宋体"/>
          <w:color w:val="auto"/>
          <w:kern w:val="0"/>
          <w:sz w:val="28"/>
          <w:szCs w:val="28"/>
          <w:shd w:val="clear" w:fill="FFFFFF"/>
        </w:rPr>
        <w:t>20</w:t>
      </w:r>
      <w:r>
        <w:rPr>
          <w:rFonts w:hint="eastAsia" w:ascii="宋体" w:hAnsi="宋体" w:eastAsia="宋体" w:cs="宋体"/>
          <w:color w:val="auto"/>
          <w:kern w:val="0"/>
          <w:sz w:val="28"/>
          <w:szCs w:val="28"/>
          <w:shd w:val="clear" w:fill="FFFFFF"/>
          <w:lang w:val="en-US" w:eastAsia="zh-CN"/>
        </w:rPr>
        <w:t>21</w:t>
      </w:r>
      <w:r>
        <w:rPr>
          <w:rFonts w:hint="eastAsia" w:ascii="宋体" w:hAnsi="宋体" w:eastAsia="宋体" w:cs="宋体"/>
          <w:color w:val="auto"/>
          <w:kern w:val="0"/>
          <w:sz w:val="28"/>
          <w:szCs w:val="28"/>
          <w:shd w:val="clear" w:fill="FFFFFF"/>
        </w:rPr>
        <w:t>年，在稳定原有市场的基础上，积极拓宽就业新市场。</w:t>
      </w:r>
      <w:r>
        <w:rPr>
          <w:rFonts w:hint="eastAsia" w:ascii="宋体" w:hAnsi="宋体" w:eastAsia="宋体" w:cs="宋体"/>
          <w:color w:val="auto"/>
          <w:kern w:val="0"/>
          <w:sz w:val="28"/>
          <w:szCs w:val="28"/>
          <w:shd w:val="clear" w:fill="FFFFFF"/>
          <w:lang w:eastAsia="zh-CN"/>
        </w:rPr>
        <w:t>一是</w:t>
      </w:r>
      <w:r>
        <w:rPr>
          <w:rFonts w:hint="eastAsia" w:ascii="宋体" w:hAnsi="宋体" w:eastAsia="宋体" w:cs="宋体"/>
          <w:color w:val="auto"/>
          <w:kern w:val="0"/>
          <w:sz w:val="28"/>
          <w:szCs w:val="28"/>
          <w:shd w:val="clear" w:fill="FFFFFF"/>
        </w:rPr>
        <w:t>学院构建 “校企合作、定向培养”的人才培养模式，建立了固定的实习、就业基地，</w:t>
      </w:r>
      <w:r>
        <w:rPr>
          <w:rFonts w:hint="eastAsia" w:ascii="宋体" w:hAnsi="宋体" w:eastAsia="宋体" w:cs="宋体"/>
          <w:color w:val="auto"/>
          <w:kern w:val="0"/>
          <w:sz w:val="28"/>
          <w:szCs w:val="28"/>
          <w:shd w:val="clear" w:fill="FFFFFF"/>
          <w:lang w:val="en-US" w:eastAsia="zh-CN"/>
        </w:rPr>
        <w:t>2021</w:t>
      </w:r>
      <w:r>
        <w:rPr>
          <w:rFonts w:hint="eastAsia" w:ascii="宋体" w:hAnsi="宋体" w:eastAsia="宋体" w:cs="宋体"/>
          <w:color w:val="auto"/>
          <w:kern w:val="0"/>
          <w:sz w:val="28"/>
          <w:szCs w:val="28"/>
          <w:shd w:val="clear" w:fill="FFFFFF"/>
        </w:rPr>
        <w:t>年</w:t>
      </w:r>
      <w:r>
        <w:rPr>
          <w:rFonts w:hint="eastAsia" w:ascii="宋体" w:hAnsi="宋体" w:eastAsia="宋体" w:cs="宋体"/>
          <w:color w:val="auto"/>
          <w:kern w:val="0"/>
          <w:sz w:val="28"/>
          <w:szCs w:val="28"/>
          <w:shd w:val="clear" w:fill="FFFFFF"/>
          <w:lang w:eastAsia="zh-CN"/>
        </w:rPr>
        <w:t>与</w:t>
      </w:r>
      <w:r>
        <w:rPr>
          <w:rFonts w:hint="eastAsia" w:ascii="宋体" w:hAnsi="宋体" w:eastAsia="宋体" w:cs="宋体"/>
          <w:color w:val="auto"/>
          <w:kern w:val="0"/>
          <w:sz w:val="28"/>
          <w:szCs w:val="28"/>
          <w:shd w:val="clear" w:fill="FFFFFF"/>
        </w:rPr>
        <w:fldChar w:fldCharType="begin"/>
      </w:r>
      <w:r>
        <w:rPr>
          <w:rFonts w:hint="eastAsia" w:ascii="宋体" w:hAnsi="宋体" w:eastAsia="宋体" w:cs="宋体"/>
          <w:color w:val="auto"/>
          <w:kern w:val="0"/>
          <w:sz w:val="28"/>
          <w:szCs w:val="28"/>
          <w:shd w:val="clear" w:fill="FFFFFF"/>
        </w:rPr>
        <w:instrText xml:space="preserve"> HYPERLINK "https://www.qixin.com/company/a92342ee-abf2-4264-ac64-bd2e189b87f0" \o "点击查看公司详情" \t "https://www.qixin.com/_blank" </w:instrText>
      </w:r>
      <w:r>
        <w:rPr>
          <w:rFonts w:hint="eastAsia" w:ascii="宋体" w:hAnsi="宋体" w:eastAsia="宋体" w:cs="宋体"/>
          <w:color w:val="auto"/>
          <w:kern w:val="0"/>
          <w:sz w:val="28"/>
          <w:szCs w:val="28"/>
          <w:shd w:val="clear" w:fill="FFFFFF"/>
        </w:rPr>
        <w:fldChar w:fldCharType="separate"/>
      </w:r>
      <w:r>
        <w:rPr>
          <w:rFonts w:hint="eastAsia" w:ascii="宋体" w:hAnsi="宋体" w:eastAsia="宋体" w:cs="宋体"/>
          <w:color w:val="auto"/>
          <w:kern w:val="0"/>
          <w:sz w:val="28"/>
          <w:szCs w:val="28"/>
          <w:shd w:val="clear" w:fill="FFFFFF"/>
        </w:rPr>
        <w:t>湖南省道通科技有限公司</w:t>
      </w:r>
      <w:r>
        <w:rPr>
          <w:rFonts w:hint="eastAsia" w:ascii="宋体" w:hAnsi="宋体" w:eastAsia="宋体" w:cs="宋体"/>
          <w:color w:val="auto"/>
          <w:kern w:val="0"/>
          <w:sz w:val="28"/>
          <w:szCs w:val="28"/>
          <w:shd w:val="clear" w:fill="FFFFFF"/>
        </w:rPr>
        <w:fldChar w:fldCharType="end"/>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rPr>
        <w:fldChar w:fldCharType="begin"/>
      </w:r>
      <w:r>
        <w:rPr>
          <w:rFonts w:hint="eastAsia" w:ascii="宋体" w:hAnsi="宋体" w:eastAsia="宋体" w:cs="宋体"/>
          <w:color w:val="auto"/>
          <w:kern w:val="0"/>
          <w:sz w:val="28"/>
          <w:szCs w:val="28"/>
          <w:shd w:val="clear" w:fill="FFFFFF"/>
        </w:rPr>
        <w:instrText xml:space="preserve"> HYPERLINK "https://www.qixin.com/publicly/716a29ac-c2f5-4463-bd1f-571398f6e235" \o "点击查看公司详情" \t "https://www.qixin.com/_blank" </w:instrText>
      </w:r>
      <w:r>
        <w:rPr>
          <w:rFonts w:hint="eastAsia" w:ascii="宋体" w:hAnsi="宋体" w:eastAsia="宋体" w:cs="宋体"/>
          <w:color w:val="auto"/>
          <w:kern w:val="0"/>
          <w:sz w:val="28"/>
          <w:szCs w:val="28"/>
          <w:shd w:val="clear" w:fill="FFFFFF"/>
        </w:rPr>
        <w:fldChar w:fldCharType="separate"/>
      </w:r>
      <w:r>
        <w:rPr>
          <w:rFonts w:hint="eastAsia" w:ascii="宋体" w:hAnsi="宋体" w:eastAsia="宋体" w:cs="宋体"/>
          <w:color w:val="auto"/>
          <w:kern w:val="0"/>
          <w:sz w:val="28"/>
          <w:szCs w:val="28"/>
          <w:shd w:val="clear" w:fill="FFFFFF"/>
        </w:rPr>
        <w:t>楚天科技股份有限公司</w:t>
      </w:r>
      <w:r>
        <w:rPr>
          <w:rFonts w:hint="eastAsia" w:ascii="宋体" w:hAnsi="宋体" w:eastAsia="宋体" w:cs="宋体"/>
          <w:color w:val="auto"/>
          <w:kern w:val="0"/>
          <w:sz w:val="28"/>
          <w:szCs w:val="28"/>
          <w:shd w:val="clear" w:fill="FFFFFF"/>
        </w:rPr>
        <w:fldChar w:fldCharType="end"/>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fldChar w:fldCharType="begin"/>
      </w:r>
      <w:r>
        <w:rPr>
          <w:rFonts w:hint="eastAsia" w:ascii="宋体" w:hAnsi="宋体" w:eastAsia="宋体" w:cs="宋体"/>
          <w:color w:val="auto"/>
          <w:kern w:val="0"/>
          <w:sz w:val="28"/>
          <w:szCs w:val="28"/>
          <w:shd w:val="clear" w:fill="FFFFFF"/>
        </w:rPr>
        <w:instrText xml:space="preserve"> HYPERLINK "https://www.qixin.com/publicly/353d7119-bbd5-41bf-8b97-676f9d4abda6" \o "点击查看公司详情" \t "https://www.qixin.com/_blank" </w:instrText>
      </w:r>
      <w:r>
        <w:rPr>
          <w:rFonts w:hint="eastAsia" w:ascii="宋体" w:hAnsi="宋体" w:eastAsia="宋体" w:cs="宋体"/>
          <w:color w:val="auto"/>
          <w:kern w:val="0"/>
          <w:sz w:val="28"/>
          <w:szCs w:val="28"/>
          <w:shd w:val="clear" w:fill="FFFFFF"/>
        </w:rPr>
        <w:fldChar w:fldCharType="separate"/>
      </w:r>
      <w:r>
        <w:rPr>
          <w:rFonts w:hint="eastAsia" w:ascii="宋体" w:hAnsi="宋体" w:eastAsia="宋体" w:cs="宋体"/>
          <w:color w:val="auto"/>
          <w:kern w:val="0"/>
          <w:sz w:val="28"/>
          <w:szCs w:val="28"/>
          <w:shd w:val="clear" w:fill="FFFFFF"/>
        </w:rPr>
        <w:t>蓝思科技股份有限公司</w:t>
      </w:r>
      <w:r>
        <w:rPr>
          <w:rFonts w:hint="eastAsia" w:ascii="宋体" w:hAnsi="宋体" w:eastAsia="宋体" w:cs="宋体"/>
          <w:color w:val="auto"/>
          <w:kern w:val="0"/>
          <w:sz w:val="28"/>
          <w:szCs w:val="28"/>
          <w:shd w:val="clear" w:fill="FFFFFF"/>
        </w:rPr>
        <w:fldChar w:fldCharType="end"/>
      </w:r>
      <w:r>
        <w:rPr>
          <w:rFonts w:hint="eastAsia" w:ascii="宋体" w:hAnsi="宋体" w:eastAsia="宋体" w:cs="宋体"/>
          <w:color w:val="auto"/>
          <w:kern w:val="0"/>
          <w:sz w:val="28"/>
          <w:szCs w:val="28"/>
          <w:shd w:val="clear" w:fill="FFFFFF"/>
          <w:lang w:eastAsia="zh-CN"/>
        </w:rPr>
        <w:t>等多家企业建立了长期合作关系</w:t>
      </w:r>
      <w:r>
        <w:rPr>
          <w:rFonts w:hint="eastAsia" w:ascii="宋体" w:hAnsi="宋体" w:eastAsia="宋体" w:cs="宋体"/>
          <w:color w:val="auto"/>
          <w:kern w:val="0"/>
          <w:sz w:val="28"/>
          <w:szCs w:val="28"/>
          <w:shd w:val="clear" w:fill="FFFFFF"/>
        </w:rPr>
        <w:t>；二是对在校生、毕业生及用人单位开展调查走访，先后组织</w:t>
      </w:r>
      <w:r>
        <w:rPr>
          <w:rFonts w:hint="eastAsia" w:ascii="宋体" w:hAnsi="宋体" w:eastAsia="宋体" w:cs="宋体"/>
          <w:color w:val="auto"/>
          <w:kern w:val="0"/>
          <w:sz w:val="28"/>
          <w:szCs w:val="28"/>
          <w:shd w:val="clear" w:fill="FFFFFF"/>
          <w:lang w:val="en-US" w:eastAsia="zh-CN"/>
        </w:rPr>
        <w:t>6</w:t>
      </w:r>
      <w:r>
        <w:rPr>
          <w:rFonts w:hint="eastAsia" w:ascii="宋体" w:hAnsi="宋体" w:eastAsia="宋体" w:cs="宋体"/>
          <w:color w:val="auto"/>
          <w:kern w:val="0"/>
          <w:sz w:val="28"/>
          <w:szCs w:val="28"/>
          <w:shd w:val="clear" w:fill="FFFFFF"/>
        </w:rPr>
        <w:t>批</w:t>
      </w:r>
      <w:r>
        <w:rPr>
          <w:rFonts w:hint="eastAsia" w:ascii="宋体" w:hAnsi="宋体" w:eastAsia="宋体" w:cs="宋体"/>
          <w:color w:val="auto"/>
          <w:kern w:val="0"/>
          <w:sz w:val="28"/>
          <w:szCs w:val="28"/>
          <w:shd w:val="clear" w:fill="FFFFFF"/>
          <w:lang w:val="en-US" w:eastAsia="zh-CN"/>
        </w:rPr>
        <w:t>20余人</w:t>
      </w:r>
      <w:r>
        <w:rPr>
          <w:rFonts w:hint="eastAsia" w:ascii="宋体" w:hAnsi="宋体" w:eastAsia="宋体" w:cs="宋体"/>
          <w:color w:val="auto"/>
          <w:kern w:val="0"/>
          <w:sz w:val="28"/>
          <w:szCs w:val="28"/>
          <w:shd w:val="clear" w:fill="FFFFFF"/>
        </w:rPr>
        <w:t>次赴</w:t>
      </w:r>
      <w:r>
        <w:rPr>
          <w:rFonts w:hint="eastAsia" w:ascii="宋体" w:hAnsi="宋体" w:eastAsia="宋体" w:cs="宋体"/>
          <w:color w:val="auto"/>
          <w:kern w:val="0"/>
          <w:sz w:val="28"/>
          <w:szCs w:val="28"/>
          <w:shd w:val="clear" w:fill="FFFFFF"/>
          <w:lang w:eastAsia="zh-CN"/>
        </w:rPr>
        <w:t>湖南、海南</w:t>
      </w:r>
      <w:r>
        <w:rPr>
          <w:rFonts w:hint="eastAsia" w:ascii="宋体" w:hAnsi="宋体" w:eastAsia="宋体" w:cs="宋体"/>
          <w:color w:val="auto"/>
          <w:kern w:val="0"/>
          <w:sz w:val="28"/>
          <w:szCs w:val="28"/>
          <w:shd w:val="clear" w:fill="FFFFFF"/>
        </w:rPr>
        <w:t>等地走访校友、考察企事业单位和实习基地，了解各专业毕业生就业情况和用人单位对人才的需求，并完成考察报告。三是举办“吉首大学信息科学与工程学院20</w:t>
      </w:r>
      <w:r>
        <w:rPr>
          <w:rFonts w:hint="eastAsia" w:ascii="宋体" w:hAnsi="宋体" w:eastAsia="宋体" w:cs="宋体"/>
          <w:color w:val="auto"/>
          <w:kern w:val="0"/>
          <w:sz w:val="28"/>
          <w:szCs w:val="28"/>
          <w:shd w:val="clear" w:fill="FFFFFF"/>
          <w:lang w:val="en-US" w:eastAsia="zh-CN"/>
        </w:rPr>
        <w:t>21</w:t>
      </w:r>
      <w:r>
        <w:rPr>
          <w:rFonts w:hint="eastAsia" w:ascii="宋体" w:hAnsi="宋体" w:eastAsia="宋体" w:cs="宋体"/>
          <w:color w:val="auto"/>
          <w:kern w:val="0"/>
          <w:sz w:val="28"/>
          <w:szCs w:val="28"/>
          <w:shd w:val="clear" w:fill="FFFFFF"/>
        </w:rPr>
        <w:t>届毕业生招聘月”活动，主动与用人单位联系，先后邀请了</w:t>
      </w:r>
      <w:r>
        <w:rPr>
          <w:rFonts w:hint="eastAsia" w:ascii="宋体" w:hAnsi="宋体" w:eastAsia="宋体" w:cs="宋体"/>
          <w:color w:val="auto"/>
          <w:kern w:val="0"/>
          <w:sz w:val="28"/>
          <w:szCs w:val="28"/>
          <w:shd w:val="clear" w:fill="FFFFFF"/>
          <w:lang w:val="en-US" w:eastAsia="zh-CN"/>
        </w:rPr>
        <w:t>近60</w:t>
      </w:r>
      <w:r>
        <w:rPr>
          <w:rFonts w:hint="eastAsia" w:ascii="宋体" w:hAnsi="宋体" w:eastAsia="宋体" w:cs="宋体"/>
          <w:color w:val="auto"/>
          <w:kern w:val="0"/>
          <w:sz w:val="28"/>
          <w:szCs w:val="28"/>
          <w:shd w:val="clear" w:fill="FFFFFF"/>
        </w:rPr>
        <w:t>家用人单位来校进行专场招聘会</w:t>
      </w:r>
      <w:r>
        <w:rPr>
          <w:rFonts w:hint="eastAsia" w:ascii="宋体" w:hAnsi="宋体" w:eastAsia="宋体" w:cs="宋体"/>
          <w:color w:val="auto"/>
          <w:kern w:val="0"/>
          <w:sz w:val="28"/>
          <w:szCs w:val="28"/>
          <w:shd w:val="clear" w:fill="FFFFFF"/>
          <w:lang w:eastAsia="zh-CN"/>
        </w:rPr>
        <w:t>和宣讲会。积极探索“顶岗实习”，与</w:t>
      </w:r>
      <w:r>
        <w:rPr>
          <w:rFonts w:hint="eastAsia" w:ascii="宋体" w:hAnsi="宋体" w:eastAsia="宋体" w:cs="宋体"/>
          <w:color w:val="auto"/>
          <w:kern w:val="0"/>
          <w:sz w:val="28"/>
          <w:szCs w:val="28"/>
          <w:shd w:val="clear" w:fill="FFFFFF"/>
        </w:rPr>
        <w:t>广州金升阳科技有限公司、海南创讯技术有限公司</w:t>
      </w:r>
      <w:r>
        <w:rPr>
          <w:rFonts w:hint="eastAsia" w:ascii="宋体" w:hAnsi="宋体" w:eastAsia="宋体" w:cs="宋体"/>
          <w:color w:val="auto"/>
          <w:kern w:val="0"/>
          <w:sz w:val="28"/>
          <w:szCs w:val="28"/>
          <w:shd w:val="clear" w:fill="FFFFFF"/>
          <w:lang w:val="en-US" w:eastAsia="zh-CN"/>
        </w:rPr>
        <w:t>、</w:t>
      </w:r>
      <w:r>
        <w:rPr>
          <w:rFonts w:hint="eastAsia" w:ascii="宋体" w:hAnsi="宋体" w:eastAsia="宋体" w:cs="宋体"/>
          <w:color w:val="auto"/>
          <w:kern w:val="0"/>
          <w:sz w:val="28"/>
          <w:szCs w:val="28"/>
          <w:shd w:val="clear" w:fill="FFFFFF"/>
          <w:lang w:val="en-US" w:eastAsia="zh-CN"/>
        </w:rPr>
        <w:fldChar w:fldCharType="begin"/>
      </w:r>
      <w:r>
        <w:rPr>
          <w:rFonts w:hint="eastAsia" w:ascii="宋体" w:hAnsi="宋体" w:eastAsia="宋体" w:cs="宋体"/>
          <w:color w:val="auto"/>
          <w:kern w:val="0"/>
          <w:sz w:val="28"/>
          <w:szCs w:val="28"/>
          <w:shd w:val="clear" w:fill="FFFFFF"/>
          <w:lang w:val="en-US" w:eastAsia="zh-CN"/>
        </w:rPr>
        <w:instrText xml:space="preserve"> HYPERLINK "https://www.qixin.com/company/6c6fb0fe-f58b-4448-90e0-206a53953c69" \o "点击查看公司详情" \t "https://www.qixin.com/_blank" </w:instrText>
      </w:r>
      <w:r>
        <w:rPr>
          <w:rFonts w:hint="eastAsia" w:ascii="宋体" w:hAnsi="宋体" w:eastAsia="宋体" w:cs="宋体"/>
          <w:color w:val="auto"/>
          <w:kern w:val="0"/>
          <w:sz w:val="28"/>
          <w:szCs w:val="28"/>
          <w:shd w:val="clear" w:fill="FFFFFF"/>
          <w:lang w:val="en-US" w:eastAsia="zh-CN"/>
        </w:rPr>
        <w:fldChar w:fldCharType="separate"/>
      </w:r>
      <w:r>
        <w:rPr>
          <w:rFonts w:hint="eastAsia" w:ascii="宋体" w:hAnsi="宋体" w:eastAsia="宋体" w:cs="宋体"/>
          <w:color w:val="auto"/>
          <w:kern w:val="0"/>
          <w:sz w:val="28"/>
          <w:szCs w:val="28"/>
          <w:shd w:val="clear" w:fill="FFFFFF"/>
          <w:lang w:val="en-US" w:eastAsia="zh-CN"/>
        </w:rPr>
        <w:t>可孚医疗科技股份有限公司</w:t>
      </w:r>
      <w:r>
        <w:rPr>
          <w:rFonts w:hint="eastAsia" w:ascii="宋体" w:hAnsi="宋体" w:eastAsia="宋体" w:cs="宋体"/>
          <w:color w:val="auto"/>
          <w:kern w:val="0"/>
          <w:sz w:val="28"/>
          <w:szCs w:val="28"/>
          <w:shd w:val="clear" w:fill="FFFFFF"/>
          <w:lang w:val="en-US" w:eastAsia="zh-CN"/>
        </w:rPr>
        <w:fldChar w:fldCharType="end"/>
      </w:r>
      <w:r>
        <w:rPr>
          <w:rFonts w:hint="eastAsia" w:ascii="宋体" w:hAnsi="宋体" w:eastAsia="宋体" w:cs="宋体"/>
          <w:color w:val="auto"/>
          <w:kern w:val="0"/>
          <w:sz w:val="28"/>
          <w:szCs w:val="28"/>
          <w:shd w:val="clear" w:fill="FFFFFF"/>
          <w:lang w:val="en-US" w:eastAsia="zh-CN"/>
        </w:rPr>
        <w:t>、衡阳镭目科技有限责任公司</w:t>
      </w:r>
      <w:r>
        <w:rPr>
          <w:rFonts w:hint="eastAsia" w:ascii="宋体" w:hAnsi="宋体" w:eastAsia="宋体" w:cs="宋体"/>
          <w:color w:val="auto"/>
          <w:kern w:val="0"/>
          <w:sz w:val="28"/>
          <w:szCs w:val="28"/>
          <w:shd w:val="clear" w:fill="FFFFFF"/>
        </w:rPr>
        <w:t>等</w:t>
      </w:r>
      <w:r>
        <w:rPr>
          <w:rFonts w:hint="eastAsia" w:ascii="宋体" w:hAnsi="宋体" w:eastAsia="宋体" w:cs="宋体"/>
          <w:color w:val="auto"/>
          <w:kern w:val="0"/>
          <w:sz w:val="28"/>
          <w:szCs w:val="28"/>
          <w:shd w:val="clear" w:fill="FFFFFF"/>
          <w:lang w:val="en-US" w:eastAsia="zh-CN"/>
        </w:rPr>
        <w:t>55</w:t>
      </w:r>
      <w:r>
        <w:rPr>
          <w:rFonts w:hint="eastAsia" w:ascii="宋体" w:hAnsi="宋体" w:eastAsia="宋体" w:cs="宋体"/>
          <w:color w:val="auto"/>
          <w:kern w:val="0"/>
          <w:sz w:val="28"/>
          <w:szCs w:val="28"/>
          <w:shd w:val="clear" w:fill="FFFFFF"/>
        </w:rPr>
        <w:t>家企业达成了顶岗实习合作意向，20</w:t>
      </w:r>
      <w:r>
        <w:rPr>
          <w:rFonts w:hint="eastAsia" w:ascii="宋体" w:hAnsi="宋体" w:eastAsia="宋体" w:cs="宋体"/>
          <w:color w:val="auto"/>
          <w:kern w:val="0"/>
          <w:sz w:val="28"/>
          <w:szCs w:val="28"/>
          <w:shd w:val="clear" w:fill="FFFFFF"/>
          <w:lang w:val="en-US" w:eastAsia="zh-CN"/>
        </w:rPr>
        <w:t>21</w:t>
      </w:r>
      <w:r>
        <w:rPr>
          <w:rFonts w:hint="eastAsia" w:ascii="宋体" w:hAnsi="宋体" w:eastAsia="宋体" w:cs="宋体"/>
          <w:color w:val="auto"/>
          <w:kern w:val="0"/>
          <w:sz w:val="28"/>
          <w:szCs w:val="28"/>
          <w:shd w:val="clear" w:fill="FFFFFF"/>
        </w:rPr>
        <w:t>届毕业生共有</w:t>
      </w:r>
      <w:r>
        <w:rPr>
          <w:rFonts w:hint="eastAsia" w:ascii="宋体" w:hAnsi="宋体" w:eastAsia="宋体" w:cs="宋体"/>
          <w:color w:val="auto"/>
          <w:kern w:val="0"/>
          <w:sz w:val="28"/>
          <w:szCs w:val="28"/>
          <w:shd w:val="clear" w:fill="FFFFFF"/>
          <w:lang w:val="en-US" w:eastAsia="zh-CN"/>
        </w:rPr>
        <w:t>50</w:t>
      </w:r>
      <w:r>
        <w:rPr>
          <w:rFonts w:hint="eastAsia" w:ascii="宋体" w:hAnsi="宋体" w:eastAsia="宋体" w:cs="宋体"/>
          <w:color w:val="auto"/>
          <w:kern w:val="0"/>
          <w:sz w:val="28"/>
          <w:szCs w:val="28"/>
          <w:shd w:val="clear" w:fill="FFFFFF"/>
        </w:rPr>
        <w:t>余人选择“顶岗实习”毕业实习方式。</w:t>
      </w:r>
    </w:p>
    <w:p>
      <w:pPr>
        <w:keepNext w:val="0"/>
        <w:keepLines w:val="0"/>
        <w:pageBreakBefore w:val="0"/>
        <w:widowControl/>
        <w:numPr>
          <w:ilvl w:val="0"/>
          <w:numId w:val="0"/>
        </w:numPr>
        <w:overflowPunct w:val="0"/>
        <w:bidi w:val="0"/>
        <w:snapToGrid/>
        <w:ind w:left="0" w:right="0" w:firstLine="0"/>
        <w:jc w:val="both"/>
        <w:textAlignment w:val="auto"/>
        <w:outlineLvl w:val="1"/>
        <w:rPr>
          <w:rFonts w:hint="eastAsia" w:ascii="宋体" w:hAnsi="宋体" w:eastAsia="宋体" w:cs="宋体"/>
          <w:b/>
          <w:color w:val="auto"/>
          <w:sz w:val="28"/>
          <w:szCs w:val="28"/>
        </w:rPr>
      </w:pPr>
      <w:bookmarkStart w:id="58" w:name="_Toc16911"/>
      <w:r>
        <w:rPr>
          <w:rFonts w:hint="eastAsia" w:ascii="宋体" w:hAnsi="宋体" w:eastAsia="宋体" w:cs="宋体"/>
          <w:b/>
          <w:color w:val="auto"/>
          <w:sz w:val="28"/>
          <w:szCs w:val="28"/>
          <w:lang w:eastAsia="zh-CN"/>
        </w:rPr>
        <w:t>（五）搭平台及时</w:t>
      </w:r>
      <w:r>
        <w:rPr>
          <w:rFonts w:hint="eastAsia" w:ascii="宋体" w:hAnsi="宋体" w:eastAsia="宋体" w:cs="宋体"/>
          <w:b/>
          <w:color w:val="auto"/>
          <w:sz w:val="28"/>
          <w:szCs w:val="28"/>
        </w:rPr>
        <w:t>发布就业信息</w:t>
      </w:r>
      <w:bookmarkEnd w:id="58"/>
    </w:p>
    <w:p>
      <w:pPr>
        <w:widowControl/>
        <w:ind w:left="0" w:right="0" w:firstLine="560"/>
        <w:jc w:val="both"/>
        <w:rPr>
          <w:rFonts w:hint="eastAsia" w:ascii="宋体" w:hAnsi="宋体" w:eastAsia="宋体" w:cs="宋体"/>
          <w:color w:val="auto"/>
          <w:kern w:val="0"/>
          <w:sz w:val="28"/>
          <w:szCs w:val="28"/>
          <w:shd w:val="clear" w:fill="FFFFFF"/>
        </w:rPr>
      </w:pPr>
      <w:r>
        <w:rPr>
          <w:rFonts w:hint="eastAsia" w:ascii="宋体" w:hAnsi="宋体" w:eastAsia="宋体" w:cs="宋体"/>
          <w:bCs/>
          <w:color w:val="auto"/>
          <w:sz w:val="28"/>
          <w:szCs w:val="28"/>
        </w:rPr>
        <w:t>及时发布就业信息，</w:t>
      </w:r>
      <w:r>
        <w:rPr>
          <w:rFonts w:hint="eastAsia" w:ascii="宋体" w:hAnsi="宋体" w:eastAsia="宋体" w:cs="宋体"/>
          <w:bCs/>
          <w:color w:val="auto"/>
          <w:sz w:val="28"/>
          <w:szCs w:val="28"/>
          <w:lang w:eastAsia="zh-CN"/>
        </w:rPr>
        <w:t>使</w:t>
      </w:r>
      <w:r>
        <w:rPr>
          <w:rFonts w:hint="eastAsia" w:ascii="宋体" w:hAnsi="宋体" w:eastAsia="宋体" w:cs="宋体"/>
          <w:color w:val="auto"/>
          <w:kern w:val="0"/>
          <w:sz w:val="28"/>
          <w:szCs w:val="28"/>
          <w:shd w:val="clear" w:fill="FFFFFF"/>
        </w:rPr>
        <w:t>就业创业信息收集和发布工作常态化</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lang w:val="en-US" w:eastAsia="zh-CN"/>
        </w:rPr>
        <w:t>2021年12月举办网络视频双选会，平台收集30余家优质企业进行线上招聘，邀请2021届未就业毕业生参加。另外</w:t>
      </w:r>
      <w:r>
        <w:rPr>
          <w:rFonts w:hint="eastAsia" w:ascii="宋体" w:hAnsi="宋体" w:eastAsia="宋体" w:cs="宋体"/>
          <w:color w:val="auto"/>
          <w:kern w:val="0"/>
          <w:sz w:val="28"/>
          <w:szCs w:val="28"/>
          <w:shd w:val="clear" w:fill="FFFFFF"/>
        </w:rPr>
        <w:t>通过QQ群、微信、手机短信、学院网站“就业信息”栏目等信息公布平台，将就业创业最新政策和各类信息及时传递给每一位毕业生，为毕业生就业创业提供准确的政策指导和充足的就业信息，实现了就业信息服务系统化、多样化。就业专干通过QQ群、手机短信、网站等媒介与各届毕业生长期保持联系。20</w:t>
      </w:r>
      <w:r>
        <w:rPr>
          <w:rFonts w:hint="eastAsia" w:ascii="宋体" w:hAnsi="宋体" w:eastAsia="宋体" w:cs="宋体"/>
          <w:color w:val="auto"/>
          <w:kern w:val="0"/>
          <w:sz w:val="28"/>
          <w:szCs w:val="28"/>
          <w:shd w:val="clear" w:fill="FFFFFF"/>
          <w:lang w:val="en-US" w:eastAsia="zh-CN"/>
        </w:rPr>
        <w:t>21</w:t>
      </w:r>
      <w:r>
        <w:rPr>
          <w:rFonts w:hint="eastAsia" w:ascii="宋体" w:hAnsi="宋体" w:eastAsia="宋体" w:cs="宋体"/>
          <w:color w:val="auto"/>
          <w:kern w:val="0"/>
          <w:sz w:val="28"/>
          <w:szCs w:val="28"/>
          <w:shd w:val="clear" w:fill="FFFFFF"/>
        </w:rPr>
        <w:t>年共发布</w:t>
      </w:r>
      <w:r>
        <w:rPr>
          <w:rFonts w:hint="eastAsia" w:ascii="宋体" w:hAnsi="宋体" w:eastAsia="宋体" w:cs="宋体"/>
          <w:color w:val="auto"/>
          <w:kern w:val="0"/>
          <w:sz w:val="28"/>
          <w:szCs w:val="28"/>
          <w:shd w:val="clear" w:fill="FFFFFF"/>
          <w:lang w:val="en-US" w:eastAsia="zh-CN"/>
        </w:rPr>
        <w:t>70多</w:t>
      </w:r>
      <w:r>
        <w:rPr>
          <w:rFonts w:hint="eastAsia" w:ascii="宋体" w:hAnsi="宋体" w:eastAsia="宋体" w:cs="宋体"/>
          <w:color w:val="auto"/>
          <w:kern w:val="0"/>
          <w:sz w:val="28"/>
          <w:szCs w:val="28"/>
          <w:shd w:val="clear" w:fill="FFFFFF"/>
        </w:rPr>
        <w:t>家用人单位招聘信息，提供就业岗位</w:t>
      </w:r>
      <w:r>
        <w:rPr>
          <w:rFonts w:hint="eastAsia" w:ascii="宋体" w:hAnsi="宋体" w:eastAsia="宋体" w:cs="宋体"/>
          <w:color w:val="auto"/>
          <w:kern w:val="0"/>
          <w:sz w:val="28"/>
          <w:szCs w:val="28"/>
          <w:shd w:val="clear" w:fill="FFFFFF"/>
          <w:lang w:val="en-US" w:eastAsia="zh-CN"/>
        </w:rPr>
        <w:t>1900</w:t>
      </w:r>
      <w:r>
        <w:rPr>
          <w:rFonts w:hint="eastAsia" w:ascii="宋体" w:hAnsi="宋体" w:eastAsia="宋体" w:cs="宋体"/>
          <w:color w:val="auto"/>
          <w:kern w:val="0"/>
          <w:sz w:val="28"/>
          <w:szCs w:val="28"/>
          <w:shd w:val="clear" w:fill="FFFFFF"/>
        </w:rPr>
        <w:t>余个，涉及计算机科学与技术、通信工程、电气工程及其自动化、电子信息工程</w:t>
      </w:r>
      <w:r>
        <w:rPr>
          <w:rFonts w:hint="eastAsia" w:ascii="宋体" w:hAnsi="宋体" w:eastAsia="宋体" w:cs="宋体"/>
          <w:color w:val="auto"/>
          <w:kern w:val="0"/>
          <w:sz w:val="28"/>
          <w:szCs w:val="28"/>
          <w:shd w:val="clear" w:fill="FFFFFF"/>
          <w:lang w:eastAsia="zh-CN"/>
        </w:rPr>
        <w:t>四个本科专</w:t>
      </w:r>
      <w:r>
        <w:rPr>
          <w:rFonts w:hint="eastAsia" w:ascii="宋体" w:hAnsi="宋体" w:eastAsia="宋体" w:cs="宋体"/>
          <w:color w:val="auto"/>
          <w:kern w:val="0"/>
          <w:sz w:val="28"/>
          <w:szCs w:val="28"/>
          <w:shd w:val="clear" w:fill="FFFFFF"/>
        </w:rPr>
        <w:t>业，为提高毕业生的就业率和就业质量起到了推动作用。</w:t>
      </w:r>
    </w:p>
    <w:p>
      <w:pPr>
        <w:keepNext w:val="0"/>
        <w:keepLines w:val="0"/>
        <w:pageBreakBefore w:val="0"/>
        <w:widowControl/>
        <w:numPr>
          <w:ilvl w:val="0"/>
          <w:numId w:val="0"/>
        </w:numPr>
        <w:overflowPunct w:val="0"/>
        <w:bidi w:val="0"/>
        <w:snapToGrid/>
        <w:ind w:left="0" w:right="0" w:firstLine="0"/>
        <w:jc w:val="both"/>
        <w:textAlignment w:val="auto"/>
        <w:outlineLvl w:val="1"/>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（六）</w:t>
      </w:r>
      <w:r>
        <w:rPr>
          <w:rFonts w:hint="eastAsia" w:ascii="宋体" w:hAnsi="宋体" w:eastAsia="宋体" w:cs="宋体"/>
          <w:b/>
          <w:color w:val="auto"/>
          <w:sz w:val="28"/>
          <w:szCs w:val="28"/>
        </w:rPr>
        <w:t>优化就业创业指导和服务工作</w:t>
      </w:r>
    </w:p>
    <w:p>
      <w:pPr>
        <w:widowControl/>
        <w:ind w:left="0" w:right="0" w:firstLine="560"/>
        <w:jc w:val="both"/>
        <w:rPr>
          <w:rFonts w:hint="eastAsia" w:ascii="宋体" w:hAnsi="宋体" w:eastAsia="宋体" w:cs="宋体"/>
          <w:bCs/>
          <w:sz w:val="28"/>
          <w:szCs w:val="28"/>
        </w:rPr>
      </w:pPr>
      <w:r>
        <w:rPr>
          <w:rFonts w:hint="eastAsia" w:ascii="宋体" w:hAnsi="宋体" w:eastAsia="宋体" w:cs="宋体"/>
          <w:bCs/>
          <w:color w:val="auto"/>
          <w:sz w:val="28"/>
          <w:szCs w:val="28"/>
        </w:rPr>
        <w:t>优化就业创业指导和服务工作。开展个性化就业创业工作，学</w:t>
      </w:r>
      <w:r>
        <w:rPr>
          <w:rFonts w:hint="eastAsia" w:ascii="宋体" w:hAnsi="宋体" w:eastAsia="宋体" w:cs="宋体"/>
          <w:color w:val="auto"/>
          <w:kern w:val="0"/>
          <w:sz w:val="28"/>
          <w:szCs w:val="28"/>
          <w:shd w:val="clear" w:fill="FFFFFF"/>
        </w:rPr>
        <w:t>院针对毕业生个性化需要从三个方面开展就业创业服务：一是教研室根据毕业生需求开展就业咨询与服务，有记录，有总结，有分析；二是系统性就业创业服务指导，为提高学生求职能力，学院专门邀请了北京千锋互联科技有限公司的专业团队</w:t>
      </w:r>
      <w:r>
        <w:rPr>
          <w:rFonts w:hint="eastAsia" w:ascii="宋体" w:hAnsi="宋体" w:eastAsia="宋体" w:cs="宋体"/>
          <w:color w:val="auto"/>
          <w:kern w:val="0"/>
          <w:sz w:val="28"/>
          <w:szCs w:val="28"/>
          <w:shd w:val="clear" w:fill="FFFFFF"/>
          <w:lang w:eastAsia="zh-CN"/>
        </w:rPr>
        <w:t>针对</w:t>
      </w:r>
      <w:r>
        <w:rPr>
          <w:rFonts w:hint="eastAsia" w:ascii="宋体" w:hAnsi="宋体" w:eastAsia="宋体" w:cs="宋体"/>
          <w:color w:val="auto"/>
          <w:kern w:val="0"/>
          <w:sz w:val="28"/>
          <w:szCs w:val="28"/>
          <w:shd w:val="clear" w:fill="FFFFFF"/>
          <w:lang w:val="en-US" w:eastAsia="zh-CN"/>
        </w:rPr>
        <w:t>2017级毕业生</w:t>
      </w:r>
      <w:r>
        <w:rPr>
          <w:rFonts w:hint="eastAsia" w:ascii="宋体" w:hAnsi="宋体" w:eastAsia="宋体" w:cs="宋体"/>
          <w:color w:val="auto"/>
          <w:kern w:val="0"/>
          <w:sz w:val="28"/>
          <w:szCs w:val="28"/>
          <w:shd w:val="clear" w:fill="FFFFFF"/>
        </w:rPr>
        <w:t>举办了为期一周的面试技巧培训，内容涵盖就业意向调查、简历制作、面试技巧的传授、求职模拟演练等各个环节</w:t>
      </w:r>
      <w:r>
        <w:rPr>
          <w:rFonts w:hint="eastAsia" w:ascii="宋体" w:hAnsi="宋体" w:eastAsia="宋体" w:cs="宋体"/>
          <w:color w:val="auto"/>
          <w:kern w:val="0"/>
          <w:sz w:val="28"/>
          <w:szCs w:val="28"/>
          <w:shd w:val="clear" w:fill="FFFFFF"/>
          <w:lang w:eastAsia="zh-CN"/>
        </w:rPr>
        <w:t>，实现了毕业生全覆盖</w:t>
      </w:r>
      <w:r>
        <w:rPr>
          <w:rFonts w:hint="eastAsia" w:ascii="宋体" w:hAnsi="宋体" w:eastAsia="宋体" w:cs="宋体"/>
          <w:color w:val="auto"/>
          <w:kern w:val="0"/>
          <w:sz w:val="28"/>
          <w:szCs w:val="28"/>
          <w:shd w:val="clear" w:fill="FFFFFF"/>
        </w:rPr>
        <w:t>，极大地提升了毕业生求职能力，得到学生的好评；三是特殊群体的“一对一”帮扶</w:t>
      </w:r>
      <w:r>
        <w:rPr>
          <w:rFonts w:hint="eastAsia" w:ascii="宋体" w:hAnsi="宋体" w:eastAsia="宋体" w:cs="宋体"/>
          <w:color w:val="auto"/>
          <w:kern w:val="0"/>
          <w:sz w:val="28"/>
          <w:szCs w:val="28"/>
          <w:shd w:val="clear" w:fill="FFFFFF"/>
          <w:lang w:eastAsia="zh-CN"/>
        </w:rPr>
        <w:t>，我院</w:t>
      </w:r>
      <w:r>
        <w:rPr>
          <w:rFonts w:hint="eastAsia" w:ascii="宋体" w:hAnsi="宋体" w:eastAsia="宋体" w:cs="宋体"/>
          <w:color w:val="auto"/>
          <w:kern w:val="0"/>
          <w:sz w:val="28"/>
          <w:szCs w:val="28"/>
          <w:shd w:val="clear" w:fill="FFFFFF"/>
          <w:lang w:val="en-US" w:eastAsia="zh-CN"/>
        </w:rPr>
        <w:t>2021届毕业生建档立卡学生42人，</w:t>
      </w:r>
      <w:r>
        <w:rPr>
          <w:rFonts w:hint="eastAsia" w:ascii="宋体" w:hAnsi="宋体" w:eastAsia="宋体" w:cs="宋体"/>
          <w:color w:val="auto"/>
          <w:kern w:val="0"/>
          <w:sz w:val="28"/>
          <w:szCs w:val="28"/>
          <w:shd w:val="clear" w:fill="FFFFFF"/>
        </w:rPr>
        <w:t>针对家庭困难、少数民族、农村生源等毕业生，不仅建立特殊群体毕业生就业工作台账，还搭建了“一对一”帮扶平台</w:t>
      </w:r>
      <w:r>
        <w:rPr>
          <w:rFonts w:hint="eastAsia" w:ascii="宋体" w:hAnsi="宋体" w:eastAsia="宋体" w:cs="宋体"/>
          <w:color w:val="auto"/>
          <w:kern w:val="0"/>
          <w:sz w:val="28"/>
          <w:szCs w:val="28"/>
          <w:shd w:val="clear" w:fill="FFFFFF"/>
          <w:lang w:eastAsia="zh-CN"/>
        </w:rPr>
        <w:t>，实现了有意向建档立卡毕业生</w:t>
      </w:r>
      <w:r>
        <w:rPr>
          <w:rFonts w:hint="eastAsia" w:ascii="宋体" w:hAnsi="宋体" w:eastAsia="宋体" w:cs="宋体"/>
          <w:color w:val="auto"/>
          <w:kern w:val="0"/>
          <w:sz w:val="28"/>
          <w:szCs w:val="28"/>
          <w:shd w:val="clear" w:fill="FFFFFF"/>
          <w:lang w:val="en-US" w:eastAsia="zh-CN"/>
        </w:rPr>
        <w:t>100%就业</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eastAsia="zh-CN"/>
        </w:rPr>
        <w:t>同时</w:t>
      </w:r>
      <w:r>
        <w:rPr>
          <w:rFonts w:hint="eastAsia" w:ascii="宋体" w:hAnsi="宋体" w:eastAsia="宋体" w:cs="宋体"/>
          <w:bCs/>
          <w:color w:val="auto"/>
          <w:sz w:val="28"/>
          <w:szCs w:val="28"/>
        </w:rPr>
        <w:t>积极引导和鼓励毕业生到基层就业，</w:t>
      </w:r>
      <w:r>
        <w:rPr>
          <w:rFonts w:hint="eastAsia" w:ascii="宋体" w:hAnsi="宋体" w:eastAsia="宋体" w:cs="宋体"/>
          <w:color w:val="auto"/>
          <w:kern w:val="0"/>
          <w:sz w:val="28"/>
          <w:szCs w:val="28"/>
          <w:shd w:val="clear" w:fill="FFFFFF"/>
        </w:rPr>
        <w:t>学院把基层就业作为就业指导课的一项重要内容，把面向基层就业的相关政策、信息及时传达给每个毕业生。在毕业生动员大会上，我院党委副书记田清旺为毕业生宣传西部志愿者、农村特岗教师等国家鼓励大学生面向基层就业的相关政策。树立面向基层就业的典型，积极引导毕业生到西部地区、到民族地区、到基层等祖国最需要的地方去建功立业。20</w:t>
      </w:r>
      <w:r>
        <w:rPr>
          <w:rFonts w:hint="eastAsia" w:ascii="宋体" w:hAnsi="宋体" w:eastAsia="宋体" w:cs="宋体"/>
          <w:color w:val="auto"/>
          <w:kern w:val="0"/>
          <w:sz w:val="28"/>
          <w:szCs w:val="28"/>
          <w:shd w:val="clear" w:fill="FFFFFF"/>
          <w:lang w:val="en-US" w:eastAsia="zh-CN"/>
        </w:rPr>
        <w:t>21</w:t>
      </w:r>
      <w:r>
        <w:rPr>
          <w:rFonts w:hint="eastAsia" w:ascii="宋体" w:hAnsi="宋体" w:eastAsia="宋体" w:cs="宋体"/>
          <w:color w:val="auto"/>
          <w:kern w:val="0"/>
          <w:sz w:val="28"/>
          <w:szCs w:val="28"/>
          <w:shd w:val="clear" w:fill="FFFFFF"/>
        </w:rPr>
        <w:t>年，我院毕业生积极参与了大学生志愿服务西部计划项目。大力支持毕业生</w:t>
      </w:r>
      <w:r>
        <w:rPr>
          <w:rFonts w:hint="eastAsia" w:ascii="宋体" w:hAnsi="宋体" w:eastAsia="宋体" w:cs="宋体"/>
          <w:bCs/>
          <w:color w:val="auto"/>
          <w:sz w:val="28"/>
          <w:szCs w:val="28"/>
        </w:rPr>
        <w:t>考研，学院</w:t>
      </w:r>
      <w:r>
        <w:rPr>
          <w:rFonts w:hint="eastAsia" w:ascii="宋体" w:hAnsi="宋体" w:eastAsia="宋体" w:cs="宋体"/>
          <w:color w:val="auto"/>
          <w:kern w:val="0"/>
          <w:sz w:val="28"/>
          <w:szCs w:val="28"/>
          <w:shd w:val="clear" w:fill="FFFFFF"/>
        </w:rPr>
        <w:t>组建了由我院的博士、教授、副教授任指导老师的毕业生考研辅导小组，并出台了《学生考研指导奖励办法》；2</w:t>
      </w:r>
      <w:r>
        <w:rPr>
          <w:rFonts w:hint="eastAsia" w:ascii="宋体" w:hAnsi="宋体" w:eastAsia="宋体" w:cs="宋体"/>
          <w:color w:val="auto"/>
          <w:kern w:val="0"/>
          <w:sz w:val="28"/>
          <w:szCs w:val="28"/>
          <w:shd w:val="clear" w:fill="FFFFFF"/>
          <w:lang w:val="en-US" w:eastAsia="zh-CN"/>
        </w:rPr>
        <w:t>021</w:t>
      </w:r>
      <w:r>
        <w:rPr>
          <w:rFonts w:hint="eastAsia" w:ascii="宋体" w:hAnsi="宋体" w:eastAsia="宋体" w:cs="宋体"/>
          <w:color w:val="auto"/>
          <w:kern w:val="0"/>
          <w:sz w:val="28"/>
          <w:szCs w:val="28"/>
          <w:shd w:val="clear" w:fill="FFFFFF"/>
        </w:rPr>
        <w:t>届毕业生考研率为</w:t>
      </w:r>
      <w:r>
        <w:rPr>
          <w:rFonts w:hint="eastAsia" w:ascii="宋体" w:hAnsi="宋体" w:eastAsia="宋体" w:cs="宋体"/>
          <w:color w:val="auto"/>
          <w:kern w:val="0"/>
          <w:sz w:val="28"/>
          <w:szCs w:val="28"/>
          <w:shd w:val="clear" w:fill="FFFFFF"/>
          <w:lang w:val="en-US" w:eastAsia="zh-CN"/>
        </w:rPr>
        <w:t>11.67%</w:t>
      </w:r>
      <w:r>
        <w:rPr>
          <w:rFonts w:hint="eastAsia" w:ascii="宋体" w:hAnsi="宋体" w:eastAsia="宋体" w:cs="宋体"/>
          <w:sz w:val="28"/>
          <w:szCs w:val="28"/>
          <w:lang w:val="en-US" w:eastAsia="zh-CN"/>
        </w:rPr>
        <w:t>，升学率历年均保持在10%以上。</w:t>
      </w:r>
    </w:p>
    <w:p>
      <w:pPr>
        <w:keepNext w:val="0"/>
        <w:keepLines w:val="0"/>
        <w:pageBreakBefore w:val="0"/>
        <w:widowControl/>
        <w:numPr>
          <w:ilvl w:val="0"/>
          <w:numId w:val="0"/>
        </w:numPr>
        <w:overflowPunct w:val="0"/>
        <w:bidi w:val="0"/>
        <w:snapToGrid/>
        <w:ind w:left="0" w:right="0" w:firstLine="0"/>
        <w:jc w:val="both"/>
        <w:textAlignment w:val="auto"/>
        <w:outlineLvl w:val="1"/>
        <w:rPr>
          <w:rFonts w:hint="eastAsia" w:ascii="宋体" w:hAnsi="宋体" w:eastAsia="宋体" w:cs="宋体"/>
          <w:b/>
          <w:color w:val="auto"/>
          <w:sz w:val="28"/>
          <w:szCs w:val="28"/>
          <w:lang w:eastAsia="zh-CN"/>
        </w:rPr>
      </w:pPr>
      <w:bookmarkStart w:id="59" w:name="_GoBack1"/>
      <w:bookmarkEnd w:id="59"/>
      <w:r>
        <w:rPr>
          <w:rFonts w:hint="eastAsia" w:ascii="宋体" w:hAnsi="宋体" w:eastAsia="宋体" w:cs="宋体"/>
          <w:b/>
          <w:color w:val="auto"/>
          <w:sz w:val="28"/>
          <w:szCs w:val="28"/>
          <w:lang w:val="en-US" w:eastAsia="zh-CN"/>
        </w:rPr>
        <w:t xml:space="preserve">（七）实施学生就业状况动态监测 </w:t>
      </w:r>
    </w:p>
    <w:p>
      <w:pPr>
        <w:widowControl/>
        <w:ind w:left="0" w:right="0" w:firstLine="560"/>
        <w:jc w:val="both"/>
        <w:rPr>
          <w:rFonts w:hint="eastAsia" w:ascii="宋体" w:hAnsi="宋体" w:eastAsia="宋体" w:cs="宋体"/>
          <w:color w:val="auto"/>
          <w:kern w:val="0"/>
          <w:sz w:val="28"/>
          <w:szCs w:val="28"/>
          <w:shd w:val="clear" w:fill="FFFFFF"/>
          <w:lang w:val="en-US" w:eastAsia="zh-CN"/>
        </w:rPr>
      </w:pPr>
      <w:r>
        <w:rPr>
          <w:rFonts w:hint="eastAsia" w:ascii="宋体" w:hAnsi="宋体" w:eastAsia="宋体" w:cs="宋体"/>
          <w:color w:val="auto"/>
          <w:kern w:val="0"/>
          <w:sz w:val="28"/>
          <w:szCs w:val="28"/>
          <w:shd w:val="clear" w:fill="FFFFFF"/>
          <w:lang w:val="en-US" w:eastAsia="zh-CN"/>
        </w:rPr>
        <w:t xml:space="preserve">为了切实有效地提升 2021届毕业生的就业率和就业质量，每周及时开展毕业生摸底工作，了解毕业生就业情况，及时跟踪和辅导，同时全面掌握“建档立卡”学生就业意向以及求职、签约等基本信息和就业状态，建立动态台账，主动跟进，及时统计就业信息。对毕业生就业落实情况和毕业生参与招聘活动情况等开展实时核查，对于学生所学专业和单位行业匹配性差异较大等情况，逐一通过电话核实就业信息，确保“稳就业”。 </w:t>
      </w:r>
    </w:p>
    <w:p>
      <w:pPr>
        <w:widowControl/>
        <w:ind w:left="0" w:right="0" w:firstLine="560"/>
        <w:jc w:val="right"/>
        <w:rPr>
          <w:rFonts w:hint="eastAsia" w:ascii="宋体" w:hAnsi="宋体" w:eastAsia="宋体" w:cs="宋体"/>
          <w:color w:val="auto"/>
          <w:kern w:val="0"/>
          <w:sz w:val="28"/>
          <w:szCs w:val="28"/>
          <w:shd w:val="clear" w:fill="FFFFFF"/>
          <w:lang w:val="en-US" w:eastAsia="zh-CN"/>
        </w:rPr>
      </w:pPr>
    </w:p>
    <w:p>
      <w:pPr>
        <w:widowControl/>
        <w:ind w:left="0" w:right="0" w:firstLine="560"/>
        <w:jc w:val="right"/>
        <w:rPr>
          <w:rFonts w:hint="eastAsia" w:ascii="宋体" w:hAnsi="宋体" w:eastAsia="宋体" w:cs="宋体"/>
          <w:color w:val="auto"/>
          <w:kern w:val="0"/>
          <w:sz w:val="28"/>
          <w:szCs w:val="28"/>
          <w:shd w:val="clear" w:fill="FFFFFF"/>
          <w:lang w:val="en-US" w:eastAsia="zh-CN"/>
        </w:rPr>
      </w:pPr>
    </w:p>
    <w:p>
      <w:pPr>
        <w:widowControl/>
        <w:ind w:left="0" w:right="0" w:firstLine="560"/>
        <w:jc w:val="right"/>
        <w:rPr>
          <w:rFonts w:hint="eastAsia" w:ascii="宋体" w:hAnsi="宋体" w:eastAsia="宋体" w:cs="宋体"/>
          <w:color w:val="auto"/>
          <w:kern w:val="0"/>
          <w:sz w:val="28"/>
          <w:szCs w:val="28"/>
          <w:shd w:val="clear" w:fill="FFFFFF"/>
          <w:lang w:val="en-US" w:eastAsia="zh-CN"/>
        </w:rPr>
      </w:pPr>
    </w:p>
    <w:p>
      <w:pPr>
        <w:widowControl/>
        <w:ind w:left="0" w:right="0" w:firstLine="560"/>
        <w:jc w:val="right"/>
        <w:rPr>
          <w:rFonts w:hint="eastAsia" w:ascii="宋体" w:hAnsi="宋体" w:eastAsia="宋体" w:cs="宋体"/>
          <w:color w:val="auto"/>
          <w:kern w:val="0"/>
          <w:sz w:val="28"/>
          <w:szCs w:val="28"/>
          <w:shd w:val="clear" w:fill="FFFFFF"/>
          <w:lang w:val="en-US" w:eastAsia="zh-CN"/>
        </w:rPr>
      </w:pPr>
      <w:r>
        <w:rPr>
          <w:rFonts w:hint="eastAsia" w:ascii="宋体" w:hAnsi="宋体" w:eastAsia="宋体" w:cs="宋体"/>
          <w:color w:val="auto"/>
          <w:kern w:val="0"/>
          <w:sz w:val="28"/>
          <w:szCs w:val="28"/>
          <w:shd w:val="clear" w:fill="FFFFFF"/>
          <w:lang w:val="en-US" w:eastAsia="zh-CN"/>
        </w:rPr>
        <w:t>信息科学与工程学院</w:t>
      </w:r>
    </w:p>
    <w:p>
      <w:pPr>
        <w:widowControl/>
        <w:ind w:left="0" w:right="0" w:firstLine="560"/>
        <w:jc w:val="right"/>
        <w:rPr>
          <w:rFonts w:hint="eastAsia" w:ascii="宋体" w:hAnsi="宋体" w:eastAsia="宋体" w:cs="宋体"/>
          <w:sz w:val="28"/>
          <w:szCs w:val="28"/>
        </w:rPr>
      </w:pPr>
      <w:r>
        <w:rPr>
          <w:rFonts w:hint="eastAsia" w:ascii="宋体" w:hAnsi="宋体" w:eastAsia="宋体" w:cs="宋体"/>
          <w:color w:val="auto"/>
          <w:kern w:val="0"/>
          <w:sz w:val="28"/>
          <w:szCs w:val="28"/>
          <w:shd w:val="clear" w:fill="FFFFFF"/>
          <w:lang w:val="en-US" w:eastAsia="zh-CN"/>
        </w:rPr>
        <w:t>2021年12月25日</w:t>
      </w:r>
      <w:r>
        <w:rPr>
          <w:rFonts w:hint="eastAsia" w:ascii="宋体" w:hAnsi="宋体" w:eastAsia="宋体" w:cs="宋体"/>
          <w:bCs/>
          <w:sz w:val="28"/>
          <w:szCs w:val="28"/>
          <w:lang w:val="en-US"/>
        </w:rPr>
        <w:t xml:space="preserve"> </w:t>
      </w:r>
    </w:p>
    <w:p>
      <w:pPr>
        <w:widowControl/>
        <w:jc w:val="left"/>
        <w:rPr>
          <w:rFonts w:hint="eastAsia" w:ascii="宋体" w:hAnsi="宋体" w:eastAsia="宋体" w:cs="宋体"/>
          <w:bCs/>
          <w:sz w:val="28"/>
          <w:szCs w:val="28"/>
        </w:rPr>
      </w:pPr>
    </w:p>
    <w:p>
      <w:pPr>
        <w:rPr>
          <w:rFonts w:hint="eastAsia" w:ascii="宋体" w:hAnsi="宋体" w:eastAsia="宋体" w:cs="宋体"/>
          <w:color w:val="000000"/>
          <w:kern w:val="0"/>
          <w:sz w:val="32"/>
          <w:szCs w:val="32"/>
          <w:highlight w:val="white"/>
        </w:rPr>
      </w:pPr>
    </w:p>
    <w:p>
      <w:pPr>
        <w:widowControl/>
        <w:ind w:left="0" w:right="0" w:firstLine="560"/>
        <w:jc w:val="left"/>
        <w:rPr>
          <w:rFonts w:hint="eastAsia" w:ascii="宋体" w:hAnsi="宋体" w:eastAsia="宋体" w:cs="宋体"/>
        </w:rPr>
      </w:pPr>
      <w:r>
        <w:rPr>
          <w:rFonts w:hint="eastAsia" w:ascii="宋体" w:hAnsi="宋体" w:eastAsia="宋体" w:cs="宋体"/>
          <w:bCs/>
          <w:sz w:val="28"/>
          <w:szCs w:val="28"/>
          <w:lang w:val="en-US"/>
        </w:rPr>
        <w:t xml:space="preserve">         </w:t>
      </w:r>
    </w:p>
    <w:sectPr>
      <w:pgSz w:w="11906" w:h="16838"/>
      <w:pgMar w:top="1440" w:right="1800" w:bottom="1440" w:left="1800" w:header="0" w:footer="992" w:gutter="0"/>
      <w:pgNumType w:fmt="decimal"/>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Liberation Sans">
    <w:altName w:val="宋体"/>
    <w:panose1 w:val="00000000000000000000"/>
    <w:charset w:val="86"/>
    <w:family w:val="roman"/>
    <w:pitch w:val="default"/>
    <w:sig w:usb0="00000000" w:usb1="00000000" w:usb2="00000000" w:usb3="00000000" w:csb0="00000000" w:csb1="00000000"/>
  </w:font>
  <w:font w:name="Calibri Light">
    <w:altName w:val="宋体"/>
    <w:panose1 w:val="020F0302020204030204"/>
    <w:charset w:val="86"/>
    <w:family w:val="roman"/>
    <w:pitch w:val="default"/>
    <w:sig w:usb0="00000000" w:usb1="00000000" w:usb2="00000009" w:usb3="00000000" w:csb0="200001FF" w:csb1="00000000"/>
  </w:font>
  <w:font w:name="仿宋_GB2312">
    <w:altName w:val="仿宋"/>
    <w:panose1 w:val="00000000000000000000"/>
    <w:charset w:val="86"/>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libri">
    <w:altName w:val="微软雅黑"/>
    <w:panose1 w:val="020F0502020204030204"/>
    <w:charset w:val="01"/>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8DE7D"/>
    <w:multiLevelType w:val="singleLevel"/>
    <w:tmpl w:val="B488DE7D"/>
    <w:lvl w:ilvl="0" w:tentative="0">
      <w:start w:val="3"/>
      <w:numFmt w:val="chineseCounting"/>
      <w:suff w:val="nothing"/>
      <w:lvlText w:val="%1、"/>
      <w:lvlJc w:val="left"/>
      <w:rPr>
        <w:rFonts w:hint="eastAsia"/>
      </w:rPr>
    </w:lvl>
  </w:abstractNum>
  <w:abstractNum w:abstractNumId="1">
    <w:nsid w:val="0053208E"/>
    <w:multiLevelType w:val="multilevel"/>
    <w:tmpl w:val="0053208E"/>
    <w:lvl w:ilvl="0" w:tentative="0">
      <w:start w:val="2"/>
      <w:numFmt w:val="taiwaneseCountingThousand"/>
      <w:suff w:val="nothing"/>
      <w:lvlText w:val="%1、"/>
      <w:lvlJc w:val="left"/>
      <w:pPr>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5D0B7840"/>
    <w:multiLevelType w:val="singleLevel"/>
    <w:tmpl w:val="5D0B7840"/>
    <w:lvl w:ilvl="0" w:tentative="0">
      <w:start w:val="4"/>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420"/>
  <w:displayHorizontalDrawingGridEvery w:val="1"/>
  <w:displayVerticalDrawingGridEvery w:val="1"/>
  <w:noPunctuationKerning w:val="1"/>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50981"/>
    <w:rsid w:val="021505BE"/>
    <w:rsid w:val="02556D1F"/>
    <w:rsid w:val="029D176A"/>
    <w:rsid w:val="02A47CF8"/>
    <w:rsid w:val="03433EF1"/>
    <w:rsid w:val="036F41A9"/>
    <w:rsid w:val="040127C5"/>
    <w:rsid w:val="04200FBD"/>
    <w:rsid w:val="045F303F"/>
    <w:rsid w:val="049F5493"/>
    <w:rsid w:val="04B2316F"/>
    <w:rsid w:val="05131FEA"/>
    <w:rsid w:val="05D90BCF"/>
    <w:rsid w:val="06B13EFD"/>
    <w:rsid w:val="06D842B9"/>
    <w:rsid w:val="07635C4A"/>
    <w:rsid w:val="07CE10A2"/>
    <w:rsid w:val="08193505"/>
    <w:rsid w:val="082223BA"/>
    <w:rsid w:val="084C0665"/>
    <w:rsid w:val="0865499C"/>
    <w:rsid w:val="0883755D"/>
    <w:rsid w:val="08931F10"/>
    <w:rsid w:val="08A52FEB"/>
    <w:rsid w:val="09C81827"/>
    <w:rsid w:val="09D60752"/>
    <w:rsid w:val="0A6023B7"/>
    <w:rsid w:val="0AA70601"/>
    <w:rsid w:val="0B3A2BFE"/>
    <w:rsid w:val="0BA672CA"/>
    <w:rsid w:val="0C252019"/>
    <w:rsid w:val="0C3D1E1D"/>
    <w:rsid w:val="0C61303B"/>
    <w:rsid w:val="0C9D2956"/>
    <w:rsid w:val="0CA210C3"/>
    <w:rsid w:val="0CE27BBE"/>
    <w:rsid w:val="0D3F7E0C"/>
    <w:rsid w:val="0E100F06"/>
    <w:rsid w:val="0EF37994"/>
    <w:rsid w:val="0F501F02"/>
    <w:rsid w:val="0F70742C"/>
    <w:rsid w:val="0FF97F53"/>
    <w:rsid w:val="100E4127"/>
    <w:rsid w:val="1021375A"/>
    <w:rsid w:val="10313043"/>
    <w:rsid w:val="10846AB0"/>
    <w:rsid w:val="10EC4D68"/>
    <w:rsid w:val="10ED34FB"/>
    <w:rsid w:val="11352259"/>
    <w:rsid w:val="113E5D8A"/>
    <w:rsid w:val="12352BEA"/>
    <w:rsid w:val="126D50D3"/>
    <w:rsid w:val="127B0E41"/>
    <w:rsid w:val="12971CE2"/>
    <w:rsid w:val="12CC61D2"/>
    <w:rsid w:val="137C729B"/>
    <w:rsid w:val="139E0B43"/>
    <w:rsid w:val="144049CE"/>
    <w:rsid w:val="149F2C0E"/>
    <w:rsid w:val="150E6ADF"/>
    <w:rsid w:val="15170AC0"/>
    <w:rsid w:val="15973035"/>
    <w:rsid w:val="15DB42CA"/>
    <w:rsid w:val="15FD78D0"/>
    <w:rsid w:val="16873B74"/>
    <w:rsid w:val="16CB4E96"/>
    <w:rsid w:val="1758459D"/>
    <w:rsid w:val="175C3D03"/>
    <w:rsid w:val="17CD1C16"/>
    <w:rsid w:val="17F673BF"/>
    <w:rsid w:val="189F0C29"/>
    <w:rsid w:val="19ED7344"/>
    <w:rsid w:val="1ADF413A"/>
    <w:rsid w:val="1B016579"/>
    <w:rsid w:val="1B201D28"/>
    <w:rsid w:val="1B8A3563"/>
    <w:rsid w:val="1BBC0449"/>
    <w:rsid w:val="1BEC71EB"/>
    <w:rsid w:val="1C273CAC"/>
    <w:rsid w:val="1C782F6F"/>
    <w:rsid w:val="1DA00E14"/>
    <w:rsid w:val="1E2C58E8"/>
    <w:rsid w:val="1E3A5B85"/>
    <w:rsid w:val="1E552830"/>
    <w:rsid w:val="1E6F32AF"/>
    <w:rsid w:val="1E86603F"/>
    <w:rsid w:val="1E935967"/>
    <w:rsid w:val="1EB725B9"/>
    <w:rsid w:val="1F5F584A"/>
    <w:rsid w:val="1F816F52"/>
    <w:rsid w:val="20811C64"/>
    <w:rsid w:val="211B2738"/>
    <w:rsid w:val="21733265"/>
    <w:rsid w:val="22B0433D"/>
    <w:rsid w:val="244C6AA9"/>
    <w:rsid w:val="24E26372"/>
    <w:rsid w:val="251E17FA"/>
    <w:rsid w:val="259049AF"/>
    <w:rsid w:val="26B975BF"/>
    <w:rsid w:val="27CF1A54"/>
    <w:rsid w:val="27FD2BC9"/>
    <w:rsid w:val="288558D1"/>
    <w:rsid w:val="28A658BA"/>
    <w:rsid w:val="29246357"/>
    <w:rsid w:val="295C09D1"/>
    <w:rsid w:val="2A37043A"/>
    <w:rsid w:val="2AA35184"/>
    <w:rsid w:val="2AE97BF7"/>
    <w:rsid w:val="2AF732E5"/>
    <w:rsid w:val="2BE76AB8"/>
    <w:rsid w:val="2BED7A86"/>
    <w:rsid w:val="2C8F0BD7"/>
    <w:rsid w:val="2D1103C5"/>
    <w:rsid w:val="2D397E72"/>
    <w:rsid w:val="2DC72F38"/>
    <w:rsid w:val="2DE26B03"/>
    <w:rsid w:val="2DF857E7"/>
    <w:rsid w:val="2E53757D"/>
    <w:rsid w:val="2FB76FDC"/>
    <w:rsid w:val="308A5127"/>
    <w:rsid w:val="31B41A25"/>
    <w:rsid w:val="32506BE6"/>
    <w:rsid w:val="34374308"/>
    <w:rsid w:val="34DA11FD"/>
    <w:rsid w:val="35995A28"/>
    <w:rsid w:val="36454A9E"/>
    <w:rsid w:val="37783E0C"/>
    <w:rsid w:val="385B5040"/>
    <w:rsid w:val="38ED3A6E"/>
    <w:rsid w:val="399A3BF6"/>
    <w:rsid w:val="3AF30024"/>
    <w:rsid w:val="3B1E4FC2"/>
    <w:rsid w:val="3B245E6D"/>
    <w:rsid w:val="3BA83AD5"/>
    <w:rsid w:val="3BF2249B"/>
    <w:rsid w:val="3C0E1364"/>
    <w:rsid w:val="3C111ED3"/>
    <w:rsid w:val="3C140697"/>
    <w:rsid w:val="3C586260"/>
    <w:rsid w:val="3CEE733C"/>
    <w:rsid w:val="3D765B08"/>
    <w:rsid w:val="3D994559"/>
    <w:rsid w:val="3DB62E68"/>
    <w:rsid w:val="3E2D30C1"/>
    <w:rsid w:val="3E3D2DA2"/>
    <w:rsid w:val="3E9C0F24"/>
    <w:rsid w:val="3EDC3E32"/>
    <w:rsid w:val="3FA2397B"/>
    <w:rsid w:val="3FA86162"/>
    <w:rsid w:val="402406BD"/>
    <w:rsid w:val="404B1282"/>
    <w:rsid w:val="407B3AD1"/>
    <w:rsid w:val="40B20F6A"/>
    <w:rsid w:val="40E14CA7"/>
    <w:rsid w:val="410D1152"/>
    <w:rsid w:val="41E21227"/>
    <w:rsid w:val="42BD4CE4"/>
    <w:rsid w:val="431539B0"/>
    <w:rsid w:val="43826324"/>
    <w:rsid w:val="43F26EEE"/>
    <w:rsid w:val="448F6167"/>
    <w:rsid w:val="44C43449"/>
    <w:rsid w:val="44F706EC"/>
    <w:rsid w:val="464F7B16"/>
    <w:rsid w:val="467E5492"/>
    <w:rsid w:val="46CE4B5B"/>
    <w:rsid w:val="474469CA"/>
    <w:rsid w:val="47696C0B"/>
    <w:rsid w:val="47C35DC9"/>
    <w:rsid w:val="47FC45EB"/>
    <w:rsid w:val="47FD18FC"/>
    <w:rsid w:val="488C5196"/>
    <w:rsid w:val="49E90643"/>
    <w:rsid w:val="49ED6F18"/>
    <w:rsid w:val="4A2D21A3"/>
    <w:rsid w:val="4A400A74"/>
    <w:rsid w:val="4A9C36AB"/>
    <w:rsid w:val="4AC9433B"/>
    <w:rsid w:val="4B870ABA"/>
    <w:rsid w:val="4CD15595"/>
    <w:rsid w:val="4E0F00F0"/>
    <w:rsid w:val="4E604FB7"/>
    <w:rsid w:val="4EBF66D1"/>
    <w:rsid w:val="51327557"/>
    <w:rsid w:val="514F4E6E"/>
    <w:rsid w:val="516C2E03"/>
    <w:rsid w:val="52622141"/>
    <w:rsid w:val="52B4767F"/>
    <w:rsid w:val="531445C2"/>
    <w:rsid w:val="532F49BD"/>
    <w:rsid w:val="538B1194"/>
    <w:rsid w:val="53D821B3"/>
    <w:rsid w:val="53FF7586"/>
    <w:rsid w:val="55524F2D"/>
    <w:rsid w:val="55542EC9"/>
    <w:rsid w:val="558F3C58"/>
    <w:rsid w:val="562C71E6"/>
    <w:rsid w:val="56505911"/>
    <w:rsid w:val="567C0C5D"/>
    <w:rsid w:val="568F3DB9"/>
    <w:rsid w:val="56A43157"/>
    <w:rsid w:val="57AF2EE7"/>
    <w:rsid w:val="57B1418D"/>
    <w:rsid w:val="584A5FD6"/>
    <w:rsid w:val="58E20C6D"/>
    <w:rsid w:val="59142D43"/>
    <w:rsid w:val="59594ADC"/>
    <w:rsid w:val="596D67DA"/>
    <w:rsid w:val="597138CA"/>
    <w:rsid w:val="5A0D40D3"/>
    <w:rsid w:val="5B207AC0"/>
    <w:rsid w:val="5B5F5CB2"/>
    <w:rsid w:val="5C406255"/>
    <w:rsid w:val="5CAC586B"/>
    <w:rsid w:val="5D0F6B92"/>
    <w:rsid w:val="5D170A43"/>
    <w:rsid w:val="5D870FD6"/>
    <w:rsid w:val="5E2241B4"/>
    <w:rsid w:val="5E2F405E"/>
    <w:rsid w:val="5E490CC8"/>
    <w:rsid w:val="5E5E7F75"/>
    <w:rsid w:val="5EA73BA1"/>
    <w:rsid w:val="5F820513"/>
    <w:rsid w:val="5F9342A8"/>
    <w:rsid w:val="6035017D"/>
    <w:rsid w:val="6035632A"/>
    <w:rsid w:val="60795AB2"/>
    <w:rsid w:val="60B63DC2"/>
    <w:rsid w:val="60E159AF"/>
    <w:rsid w:val="61247BC4"/>
    <w:rsid w:val="612D6600"/>
    <w:rsid w:val="61327BE3"/>
    <w:rsid w:val="61EA4018"/>
    <w:rsid w:val="628913BD"/>
    <w:rsid w:val="62BB0761"/>
    <w:rsid w:val="62C84A81"/>
    <w:rsid w:val="635E0E5B"/>
    <w:rsid w:val="63E70E01"/>
    <w:rsid w:val="63EE6769"/>
    <w:rsid w:val="65AC398B"/>
    <w:rsid w:val="65C87050"/>
    <w:rsid w:val="667016B7"/>
    <w:rsid w:val="66BD7C37"/>
    <w:rsid w:val="67446CA1"/>
    <w:rsid w:val="675D60DF"/>
    <w:rsid w:val="67B024C5"/>
    <w:rsid w:val="67BA3FBC"/>
    <w:rsid w:val="67C076E2"/>
    <w:rsid w:val="684706A4"/>
    <w:rsid w:val="68B85C1F"/>
    <w:rsid w:val="69021D06"/>
    <w:rsid w:val="690A4C74"/>
    <w:rsid w:val="6978047C"/>
    <w:rsid w:val="697F4DD4"/>
    <w:rsid w:val="69831C42"/>
    <w:rsid w:val="69A96000"/>
    <w:rsid w:val="69D81C91"/>
    <w:rsid w:val="6A64322D"/>
    <w:rsid w:val="6B457A50"/>
    <w:rsid w:val="6B4A34C9"/>
    <w:rsid w:val="6BD022D8"/>
    <w:rsid w:val="6C040926"/>
    <w:rsid w:val="6D8A1F98"/>
    <w:rsid w:val="6E356C29"/>
    <w:rsid w:val="6F6873CF"/>
    <w:rsid w:val="6FD33CC2"/>
    <w:rsid w:val="70552A5D"/>
    <w:rsid w:val="70B05878"/>
    <w:rsid w:val="70B91AC4"/>
    <w:rsid w:val="70D97BA2"/>
    <w:rsid w:val="711C2874"/>
    <w:rsid w:val="71793B16"/>
    <w:rsid w:val="71DC5E53"/>
    <w:rsid w:val="71FD350D"/>
    <w:rsid w:val="72113805"/>
    <w:rsid w:val="72567A35"/>
    <w:rsid w:val="72E937AF"/>
    <w:rsid w:val="737C78ED"/>
    <w:rsid w:val="755C6186"/>
    <w:rsid w:val="762B7CD5"/>
    <w:rsid w:val="76345989"/>
    <w:rsid w:val="76504CBE"/>
    <w:rsid w:val="76E52316"/>
    <w:rsid w:val="76FC272E"/>
    <w:rsid w:val="779C6DC2"/>
    <w:rsid w:val="77A43ECA"/>
    <w:rsid w:val="7812542A"/>
    <w:rsid w:val="786B0EC4"/>
    <w:rsid w:val="78985AA5"/>
    <w:rsid w:val="78BA52C8"/>
    <w:rsid w:val="793F527F"/>
    <w:rsid w:val="7963752C"/>
    <w:rsid w:val="7A2E6BAF"/>
    <w:rsid w:val="7AD41DBD"/>
    <w:rsid w:val="7ADF3D70"/>
    <w:rsid w:val="7B3B7030"/>
    <w:rsid w:val="7B593A04"/>
    <w:rsid w:val="7B6E442B"/>
    <w:rsid w:val="7BA4768F"/>
    <w:rsid w:val="7BB06386"/>
    <w:rsid w:val="7C320548"/>
    <w:rsid w:val="7C335B9A"/>
    <w:rsid w:val="7C441EAA"/>
    <w:rsid w:val="7D266C3C"/>
    <w:rsid w:val="7EA9560A"/>
    <w:rsid w:val="7F2F31F4"/>
    <w:rsid w:val="7F4830A7"/>
    <w:rsid w:val="7F511C2E"/>
    <w:rsid w:val="7F5633DC"/>
    <w:rsid w:val="7F647FD1"/>
    <w:rsid w:val="7F9F3680"/>
    <w:rsid w:val="7FE037A1"/>
    <w:rsid w:val="7FFD0BAD"/>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bidi w:val="0"/>
      <w:ind w:left="0" w:right="0" w:firstLine="0"/>
      <w:jc w:val="both"/>
    </w:pPr>
    <w:rPr>
      <w:rFonts w:asciiTheme="minorHAnsi" w:hAnsiTheme="minorHAnsi" w:eastAsiaTheme="minorEastAsia" w:cstheme="minorBidi"/>
      <w:color w:val="auto"/>
      <w:kern w:val="2"/>
      <w:sz w:val="21"/>
      <w:szCs w:val="24"/>
      <w:lang w:val="en-US" w:eastAsia="zh-CN" w:bidi="ar-SA"/>
    </w:rPr>
  </w:style>
  <w:style w:type="paragraph" w:styleId="2">
    <w:name w:val="heading 1"/>
    <w:basedOn w:val="1"/>
    <w:next w:val="1"/>
    <w:qFormat/>
    <w:uiPriority w:val="0"/>
    <w:pPr>
      <w:keepNext/>
      <w:keepLines/>
      <w:outlineLvl w:val="0"/>
    </w:pPr>
    <w:rPr>
      <w:b/>
      <w:kern w:val="2"/>
      <w:sz w:val="32"/>
    </w:rPr>
  </w:style>
  <w:style w:type="paragraph" w:styleId="3">
    <w:name w:val="heading 2"/>
    <w:basedOn w:val="1"/>
    <w:next w:val="1"/>
    <w:unhideWhenUsed/>
    <w:qFormat/>
    <w:uiPriority w:val="0"/>
    <w:pPr>
      <w:keepNext/>
      <w:keepLines/>
      <w:spacing w:before="260" w:after="260" w:line="408" w:lineRule="auto"/>
      <w:outlineLvl w:val="1"/>
    </w:pPr>
    <w:rPr>
      <w:rFonts w:ascii="Arial" w:hAnsi="Arial"/>
      <w:b/>
      <w:sz w:val="30"/>
    </w:rPr>
  </w:style>
  <w:style w:type="paragraph" w:styleId="4">
    <w:name w:val="heading 3"/>
    <w:basedOn w:val="1"/>
    <w:next w:val="1"/>
    <w:unhideWhenUsed/>
    <w:qFormat/>
    <w:uiPriority w:val="0"/>
    <w:pPr>
      <w:keepNext/>
      <w:keepLines/>
      <w:spacing w:before="260" w:after="260" w:line="408" w:lineRule="auto"/>
      <w:outlineLvl w:val="2"/>
    </w:pPr>
    <w:rPr>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suppressLineNumbers/>
      <w:spacing w:before="120" w:after="120"/>
    </w:pPr>
    <w:rPr>
      <w:rFonts w:cs="Arial"/>
      <w:i/>
      <w:iCs/>
      <w:sz w:val="24"/>
      <w:szCs w:val="24"/>
    </w:rPr>
  </w:style>
  <w:style w:type="paragraph" w:styleId="6">
    <w:name w:val="Body Text"/>
    <w:basedOn w:val="1"/>
    <w:qFormat/>
    <w:uiPriority w:val="0"/>
    <w:pPr>
      <w:spacing w:before="0" w:after="140" w:line="276" w:lineRule="auto"/>
    </w:pPr>
  </w:style>
  <w:style w:type="paragraph" w:styleId="7">
    <w:name w:val="toc 3"/>
    <w:basedOn w:val="1"/>
    <w:next w:val="1"/>
    <w:qFormat/>
    <w:uiPriority w:val="39"/>
    <w:pPr>
      <w:ind w:left="840" w:right="0" w:firstLine="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List"/>
    <w:basedOn w:val="6"/>
    <w:qFormat/>
    <w:uiPriority w:val="0"/>
    <w:rPr>
      <w:rFonts w:cs="Arial"/>
    </w:rPr>
  </w:style>
  <w:style w:type="paragraph" w:styleId="12">
    <w:name w:val="toc 2"/>
    <w:basedOn w:val="1"/>
    <w:next w:val="1"/>
    <w:qFormat/>
    <w:uiPriority w:val="39"/>
    <w:pPr>
      <w:tabs>
        <w:tab w:val="right" w:leader="dot" w:pos="8296"/>
      </w:tabs>
      <w:spacing w:line="300" w:lineRule="auto"/>
      <w:ind w:left="420" w:right="0" w:firstLine="0"/>
    </w:pPr>
  </w:style>
  <w:style w:type="paragraph" w:styleId="13">
    <w:name w:val="Normal (Web)"/>
    <w:basedOn w:val="1"/>
    <w:qFormat/>
    <w:uiPriority w:val="0"/>
    <w:pPr>
      <w:jc w:val="left"/>
    </w:pPr>
    <w:rPr>
      <w:rFonts w:cs="Times New Roman"/>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customStyle="1" w:styleId="18">
    <w:name w:val="Internet 链接"/>
    <w:basedOn w:val="16"/>
    <w:unhideWhenUsed/>
    <w:qFormat/>
    <w:uiPriority w:val="99"/>
    <w:rPr>
      <w:color w:val="0563C1" w:themeColor="hyperlink"/>
      <w:u w:val="single"/>
      <w14:textFill>
        <w14:solidFill>
          <w14:schemeClr w14:val="hlink"/>
        </w14:solidFill>
      </w14:textFill>
    </w:rPr>
  </w:style>
  <w:style w:type="character" w:customStyle="1" w:styleId="19">
    <w:name w:val="页眉 Char"/>
    <w:basedOn w:val="16"/>
    <w:qFormat/>
    <w:uiPriority w:val="0"/>
    <w:rPr>
      <w:rFonts w:asciiTheme="minorHAnsi" w:hAnsiTheme="minorHAnsi" w:eastAsiaTheme="minorEastAsia" w:cstheme="minorBidi"/>
      <w:kern w:val="2"/>
      <w:sz w:val="18"/>
      <w:szCs w:val="18"/>
    </w:rPr>
  </w:style>
  <w:style w:type="character" w:customStyle="1" w:styleId="20">
    <w:name w:val="页脚 Char"/>
    <w:basedOn w:val="16"/>
    <w:qFormat/>
    <w:uiPriority w:val="0"/>
    <w:rPr>
      <w:rFonts w:asciiTheme="minorHAnsi" w:hAnsiTheme="minorHAnsi" w:eastAsiaTheme="minorEastAsia" w:cstheme="minorBidi"/>
      <w:kern w:val="2"/>
      <w:sz w:val="18"/>
      <w:szCs w:val="18"/>
    </w:rPr>
  </w:style>
  <w:style w:type="character" w:customStyle="1" w:styleId="21">
    <w:name w:val="索引链接"/>
    <w:qFormat/>
    <w:uiPriority w:val="0"/>
  </w:style>
  <w:style w:type="paragraph" w:customStyle="1" w:styleId="22">
    <w:name w:val="标题样式"/>
    <w:basedOn w:val="1"/>
    <w:next w:val="6"/>
    <w:qFormat/>
    <w:uiPriority w:val="0"/>
    <w:pPr>
      <w:keepNext/>
      <w:spacing w:before="240" w:after="120"/>
    </w:pPr>
    <w:rPr>
      <w:rFonts w:ascii="Liberation Sans" w:hAnsi="Liberation Sans" w:eastAsia="微软雅黑" w:cs="Arial"/>
      <w:sz w:val="28"/>
      <w:szCs w:val="28"/>
    </w:rPr>
  </w:style>
  <w:style w:type="paragraph" w:customStyle="1" w:styleId="23">
    <w:name w:val="索引"/>
    <w:basedOn w:val="1"/>
    <w:qFormat/>
    <w:uiPriority w:val="0"/>
    <w:pPr>
      <w:suppressLineNumbers/>
    </w:pPr>
    <w:rPr>
      <w:rFonts w:cs="Arial"/>
    </w:rPr>
  </w:style>
  <w:style w:type="paragraph" w:customStyle="1" w:styleId="24">
    <w:name w:val="列出段落11"/>
    <w:basedOn w:val="1"/>
    <w:qFormat/>
    <w:uiPriority w:val="0"/>
    <w:pPr>
      <w:ind w:left="0" w:right="0" w:firstLine="420"/>
    </w:pPr>
    <w:rPr>
      <w:rFonts w:ascii="Calibri" w:hAnsi="Calibri" w:eastAsia="宋体" w:cs="Times New Roman"/>
      <w:szCs w:val="22"/>
    </w:rPr>
  </w:style>
  <w:style w:type="paragraph" w:customStyle="1" w:styleId="25">
    <w:name w:val="_Style 1"/>
    <w:basedOn w:val="1"/>
    <w:qFormat/>
    <w:uiPriority w:val="34"/>
    <w:pPr>
      <w:ind w:left="0" w:right="0" w:firstLine="420"/>
    </w:pPr>
  </w:style>
  <w:style w:type="paragraph" w:customStyle="1" w:styleId="26">
    <w:name w:val="_Style 2"/>
    <w:basedOn w:val="1"/>
    <w:qFormat/>
    <w:uiPriority w:val="34"/>
    <w:pPr>
      <w:ind w:left="0" w:right="0" w:firstLine="420"/>
    </w:pPr>
  </w:style>
  <w:style w:type="paragraph" w:customStyle="1" w:styleId="27">
    <w:name w:val="列出段落1"/>
    <w:basedOn w:val="1"/>
    <w:qFormat/>
    <w:uiPriority w:val="0"/>
    <w:pPr>
      <w:ind w:left="0" w:right="0" w:firstLine="420"/>
    </w:pPr>
    <w:rPr>
      <w:rFonts w:ascii="Calibri" w:hAnsi="Calibri" w:eastAsia="宋体" w:cs="Times New Roman"/>
      <w:szCs w:val="22"/>
    </w:rPr>
  </w:style>
  <w:style w:type="paragraph" w:customStyle="1" w:styleId="28">
    <w:name w:val="WPSOffice手动目录 1"/>
    <w:qFormat/>
    <w:uiPriority w:val="0"/>
    <w:pPr>
      <w:widowControl w:val="0"/>
      <w:bidi w:val="0"/>
      <w:jc w:val="left"/>
    </w:pPr>
    <w:rPr>
      <w:rFonts w:ascii="Times New Roman" w:hAnsi="Times New Roman" w:eastAsia="宋体" w:cs="Times New Roman"/>
      <w:color w:val="auto"/>
      <w:kern w:val="0"/>
      <w:sz w:val="21"/>
      <w:szCs w:val="20"/>
      <w:lang w:val="en-US" w:eastAsia="zh-CN" w:bidi="ar-SA"/>
    </w:rPr>
  </w:style>
  <w:style w:type="paragraph" w:customStyle="1" w:styleId="29">
    <w:name w:val="WPSOffice手动目录 2"/>
    <w:qFormat/>
    <w:uiPriority w:val="0"/>
    <w:pPr>
      <w:widowControl w:val="0"/>
      <w:bidi w:val="0"/>
      <w:ind w:left="200" w:firstLine="0"/>
      <w:jc w:val="left"/>
    </w:pPr>
    <w:rPr>
      <w:rFonts w:ascii="Times New Roman" w:hAnsi="Times New Roman" w:eastAsia="宋体" w:cs="Times New Roman"/>
      <w:color w:val="auto"/>
      <w:kern w:val="0"/>
      <w:sz w:val="21"/>
      <w:szCs w:val="20"/>
      <w:lang w:val="en-US" w:eastAsia="zh-CN" w:bidi="ar-SA"/>
    </w:rPr>
  </w:style>
  <w:style w:type="paragraph" w:customStyle="1" w:styleId="30">
    <w:name w:val="WPSOffice手动目录 3"/>
    <w:qFormat/>
    <w:uiPriority w:val="0"/>
    <w:pPr>
      <w:widowControl w:val="0"/>
      <w:bidi w:val="0"/>
      <w:ind w:left="400" w:firstLine="0"/>
      <w:jc w:val="left"/>
    </w:pPr>
    <w:rPr>
      <w:rFonts w:ascii="Times New Roman" w:hAnsi="Times New Roman" w:eastAsia="宋体" w:cs="Times New Roman"/>
      <w:color w:val="auto"/>
      <w:kern w:val="0"/>
      <w:sz w:val="21"/>
      <w:szCs w:val="20"/>
      <w:lang w:val="en-US" w:eastAsia="zh-CN" w:bidi="ar-SA"/>
    </w:rPr>
  </w:style>
  <w:style w:type="paragraph" w:customStyle="1" w:styleId="31">
    <w:name w:val="TOC Heading"/>
    <w:basedOn w:val="2"/>
    <w:next w:val="1"/>
    <w:unhideWhenUsed/>
    <w:qFormat/>
    <w:uiPriority w:val="39"/>
    <w:pPr>
      <w:widowControl/>
      <w:spacing w:before="240" w:after="0" w:line="259" w:lineRule="auto"/>
      <w:jc w:val="left"/>
    </w:pPr>
    <w:rPr>
      <w:rFonts w:asciiTheme="majorHAnsi" w:hAnsiTheme="majorHAnsi" w:eastAsiaTheme="majorEastAsia" w:cstheme="majorBidi"/>
      <w:b w:val="0"/>
      <w:color w:val="2E75B6" w:themeColor="accent1" w:themeShade="BF"/>
      <w:kern w:val="0"/>
      <w:szCs w:val="32"/>
    </w:rPr>
  </w:style>
  <w:style w:type="paragraph" w:customStyle="1" w:styleId="32">
    <w:name w:val="框架内容"/>
    <w:basedOn w:val="1"/>
    <w:qFormat/>
    <w:uiPriority w:val="0"/>
  </w:style>
  <w:style w:type="paragraph" w:customStyle="1" w:styleId="33">
    <w:name w:val="表格内容"/>
    <w:basedOn w:val="1"/>
    <w:qFormat/>
    <w:uiPriority w:val="0"/>
    <w:pPr>
      <w:suppressLineNumbers/>
    </w:pPr>
  </w:style>
  <w:style w:type="paragraph" w:customStyle="1" w:styleId="34">
    <w:name w:val="表格标题"/>
    <w:basedOn w:val="33"/>
    <w:qFormat/>
    <w:uiPriority w:val="0"/>
    <w:pPr>
      <w:suppressLineNumbers/>
      <w:jc w:val="center"/>
    </w:pPr>
    <w:rPr>
      <w:b/>
      <w:bCs/>
    </w:rPr>
  </w:style>
  <w:style w:type="paragraph" w:customStyle="1" w:styleId="35">
    <w:name w:val="p15"/>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9.xml"/><Relationship Id="rId14" Type="http://schemas.openxmlformats.org/officeDocument/2006/relationships/chart" Target="charts/chart8.xml"/><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3.xml"/><Relationship Id="rId1" Type="http://schemas.openxmlformats.org/officeDocument/2006/relationships/oleObject" Target="&#24037;&#20316;&#31807;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2"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2"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24037;&#20316;&#31807;2"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24037;&#20316;&#31807;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t>图</a:t>
            </a:r>
            <a:r>
              <a:rPr lang="en-US" altLang="zh-CN" sz="1200"/>
              <a:t>1 </a:t>
            </a:r>
            <a:r>
              <a:rPr sz="1200"/>
              <a:t>信息科学与工程学院</a:t>
            </a:r>
            <a:r>
              <a:rPr lang="en-US" altLang="zh-CN" sz="1200"/>
              <a:t>2021</a:t>
            </a:r>
            <a:r>
              <a:rPr altLang="en-US" sz="1200"/>
              <a:t>届毕业生性别构成</a:t>
            </a:r>
            <a:endParaRPr altLang="en-US" sz="1200"/>
          </a:p>
        </c:rich>
      </c:tx>
      <c:layout/>
      <c:overlay val="0"/>
      <c:spPr>
        <a:noFill/>
        <a:ln>
          <a:noFill/>
        </a:ln>
        <a:effectLst/>
      </c:spPr>
    </c:title>
    <c:autoTitleDeleted val="0"/>
    <c:plotArea>
      <c:layout>
        <c:manualLayout>
          <c:layoutTarget val="inner"/>
          <c:xMode val="edge"/>
          <c:yMode val="edge"/>
          <c:x val="0.300459674049311"/>
          <c:y val="0.25974025974026"/>
          <c:w val="0.408552723220504"/>
          <c:h val="0.692561983471074"/>
        </c:manualLayout>
      </c:layout>
      <c:pieChart>
        <c:varyColors val="1"/>
        <c:ser>
          <c:idx val="0"/>
          <c:order val="0"/>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Lbls>
            <c:dLbl>
              <c:idx val="0"/>
              <c:layout>
                <c:manualLayout>
                  <c:x val="-0.119767986329305"/>
                  <c:y val="-0.175923801708231"/>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7</a:t>
                    </a:r>
                    <a:r>
                      <a:rPr lang="en-US" altLang="zh-CN"/>
                      <a:t>2.5</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8852565285688"/>
                  <c:y val="0.127312695560981"/>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27</a:t>
                    </a:r>
                    <a:r>
                      <a:rPr lang="en-US" altLang="zh-CN"/>
                      <a:t>.5</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[工作簿1]Sheet1!$A$2:$B$2</c:f>
              <c:strCache>
                <c:ptCount val="2"/>
                <c:pt idx="0">
                  <c:v>男</c:v>
                </c:pt>
                <c:pt idx="1">
                  <c:v>女</c:v>
                </c:pt>
              </c:strCache>
            </c:strRef>
          </c:cat>
          <c:val>
            <c:numRef>
              <c:f>[工作簿1]Sheet1!$A$3:$B$3</c:f>
              <c:numCache>
                <c:formatCode>0.00%</c:formatCode>
                <c:ptCount val="2"/>
                <c:pt idx="0">
                  <c:v>0.7253</c:v>
                </c:pt>
                <c:pt idx="1">
                  <c:v>0.2747</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t>图</a:t>
            </a:r>
            <a:r>
              <a:rPr lang="en-US" altLang="zh-CN" sz="1200"/>
              <a:t>2 </a:t>
            </a:r>
            <a:r>
              <a:rPr sz="1200"/>
              <a:t>信息科学与工程学院202</a:t>
            </a:r>
            <a:r>
              <a:rPr lang="en-US" altLang="zh-CN" sz="1200"/>
              <a:t>1</a:t>
            </a:r>
            <a:r>
              <a:rPr sz="1200"/>
              <a:t>届毕业生城乡生源</a:t>
            </a:r>
            <a:endParaRPr sz="1200"/>
          </a:p>
        </c:rich>
      </c:tx>
      <c:layout/>
      <c:overlay val="0"/>
      <c:spPr>
        <a:noFill/>
        <a:ln>
          <a:noFill/>
        </a:ln>
        <a:effectLst/>
      </c:spPr>
    </c:title>
    <c:autoTitleDeleted val="0"/>
    <c:plotArea>
      <c:layout>
        <c:manualLayout>
          <c:layoutTarget val="inner"/>
          <c:xMode val="edge"/>
          <c:yMode val="edge"/>
          <c:x val="0.300459674049311"/>
          <c:y val="0.25974025974026"/>
          <c:w val="0.408552723220504"/>
          <c:h val="0.692561983471074"/>
        </c:manualLayout>
      </c:layout>
      <c:pieChart>
        <c:varyColors val="1"/>
        <c:ser>
          <c:idx val="0"/>
          <c:order val="0"/>
          <c:tx>
            <c:strRef>
              <c:f>[工作簿1]Sheet1!$B$1:$B$2</c:f>
              <c:strCache>
                <c:ptCount val="1"/>
                <c:pt idx="0">
                  <c:v>信息科学与工程学院2020届毕业生城乡生源分布 人数</c:v>
                </c:pt>
              </c:strCache>
            </c:strRef>
          </c:tx>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Lbls>
            <c:dLbl>
              <c:idx val="0"/>
              <c:layout>
                <c:manualLayout>
                  <c:x val="-0.116014272735034"/>
                  <c:y val="0.154143249533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2</a:t>
                    </a:r>
                    <a:r>
                      <a:rPr lang="en-US" altLang="zh-CN"/>
                      <a:t>8.33</a:t>
                    </a:r>
                    <a:r>
                      <a:t>%</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manualLayout>
                      <c:w val="0.107361111111111"/>
                      <c:h val="0.0930555555555556"/>
                    </c:manualLayout>
                  </c15:layout>
                </c:ext>
              </c:extLst>
            </c:dLbl>
            <c:dLbl>
              <c:idx val="1"/>
              <c:layout>
                <c:manualLayout>
                  <c:x val="0.136569840904072"/>
                  <c:y val="-0.21017095129662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71</a:t>
                    </a:r>
                    <a:r>
                      <a:rPr lang="en-US" altLang="zh-CN"/>
                      <a:t>.67</a:t>
                    </a:r>
                    <a:r>
                      <a:t>%</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manualLayout>
                      <c:w val="0.125416666666667"/>
                      <c:h val="0.113194444444444"/>
                    </c:manualLayout>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[工作簿1]Sheet1!$A$3:$A$4</c:f>
              <c:strCache>
                <c:ptCount val="2"/>
                <c:pt idx="0">
                  <c:v>城镇户口</c:v>
                </c:pt>
                <c:pt idx="1">
                  <c:v>农村户口</c:v>
                </c:pt>
              </c:strCache>
            </c:strRef>
          </c:cat>
          <c:val>
            <c:numRef>
              <c:f>[工作簿1]Sheet1!$B$3:$B$4</c:f>
              <c:numCache>
                <c:formatCode>General</c:formatCode>
                <c:ptCount val="2"/>
                <c:pt idx="0">
                  <c:v>109</c:v>
                </c:pt>
                <c:pt idx="1">
                  <c:v>273</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
          <c:y val="0.0603333333333333"/>
          <c:w val="0.8913125"/>
          <c:h val="0.817111111111111"/>
        </c:manualLayout>
      </c:layout>
      <c:barChart>
        <c:barDir val="col"/>
        <c:grouping val="clustered"/>
        <c:varyColors val="0"/>
        <c:ser>
          <c:idx val="0"/>
          <c:order val="0"/>
          <c:tx>
            <c:strRef>
              <c:f>label 0</c:f>
              <c:strCache>
                <c:ptCount val="1"/>
                <c:pt idx="0">
                  <c:v>人数</c:v>
                </c:pt>
              </c:strCache>
            </c:strRef>
          </c:tx>
          <c:spPr>
            <a:solidFill>
              <a:srgbClr val="5B9BD5"/>
            </a:solidFill>
            <a:ln>
              <a:noFill/>
            </a:ln>
          </c:spPr>
          <c:invertIfNegative val="0"/>
          <c:dPt>
            <c:idx val="0"/>
            <c:invertIfNegative val="0"/>
            <c:bubble3D val="0"/>
            <c:spPr>
              <a:solidFill>
                <a:srgbClr val="5B9BD5"/>
              </a:solidFill>
              <a:ln>
                <a:noFill/>
              </a:ln>
            </c:spPr>
          </c:dPt>
          <c:dPt>
            <c:idx val="1"/>
            <c:invertIfNegative val="0"/>
            <c:bubble3D val="0"/>
            <c:spPr>
              <a:solidFill>
                <a:srgbClr val="5B9BD5"/>
              </a:solidFill>
              <a:ln>
                <a:noFill/>
              </a:ln>
            </c:spPr>
          </c:dPt>
          <c:dPt>
            <c:idx val="2"/>
            <c:invertIfNegative val="0"/>
            <c:bubble3D val="0"/>
            <c:spPr>
              <a:solidFill>
                <a:srgbClr val="5B9BD5"/>
              </a:solidFill>
              <a:ln>
                <a:noFill/>
              </a:ln>
            </c:spPr>
          </c:dPt>
          <c:dPt>
            <c:idx val="3"/>
            <c:invertIfNegative val="0"/>
            <c:bubble3D val="0"/>
            <c:spPr>
              <a:solidFill>
                <a:srgbClr val="5B9BD5"/>
              </a:solidFill>
              <a:ln>
                <a:noFill/>
              </a:ln>
            </c:spPr>
          </c:dPt>
          <c:dPt>
            <c:idx val="4"/>
            <c:invertIfNegative val="0"/>
            <c:bubble3D val="0"/>
            <c:spPr>
              <a:solidFill>
                <a:srgbClr val="5B9BD5"/>
              </a:solidFill>
              <a:ln>
                <a:noFill/>
              </a:ln>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5"/>
                <c:pt idx="0">
                  <c:v>计算机科学与技术</c:v>
                </c:pt>
                <c:pt idx="1">
                  <c:v>电子信息工程</c:v>
                </c:pt>
                <c:pt idx="2">
                  <c:v>通信工程</c:v>
                </c:pt>
                <c:pt idx="3">
                  <c:v>网络工程</c:v>
                </c:pt>
                <c:pt idx="4">
                  <c:v>电气工程及其自动化</c:v>
                </c:pt>
              </c:strCache>
            </c:strRef>
          </c:cat>
          <c:val>
            <c:numRef>
              <c:f>0</c:f>
              <c:numCache>
                <c:formatCode>General</c:formatCode>
                <c:ptCount val="5"/>
                <c:pt idx="0">
                  <c:v>59</c:v>
                </c:pt>
                <c:pt idx="1">
                  <c:v>65</c:v>
                </c:pt>
                <c:pt idx="2">
                  <c:v>80</c:v>
                </c:pt>
                <c:pt idx="3">
                  <c:v>62</c:v>
                </c:pt>
                <c:pt idx="4">
                  <c:v>92</c:v>
                </c:pt>
              </c:numCache>
            </c:numRef>
          </c:val>
        </c:ser>
        <c:dLbls>
          <c:showLegendKey val="0"/>
          <c:showVal val="1"/>
          <c:showCatName val="0"/>
          <c:showSerName val="0"/>
          <c:showPercent val="0"/>
          <c:showBubbleSize val="1"/>
        </c:dLbls>
        <c:gapWidth val="213"/>
        <c:overlap val="-56"/>
        <c:axId val="3507824"/>
        <c:axId val="43490987"/>
      </c:barChart>
      <c:catAx>
        <c:axId val="3507824"/>
        <c:scaling>
          <c:orientation val="minMax"/>
        </c:scaling>
        <c:delete val="0"/>
        <c:axPos val="b"/>
        <c:numFmt formatCode="[$-804]yyyy/m/d" sourceLinked="1"/>
        <c:majorTickMark val="none"/>
        <c:minorTickMark val="none"/>
        <c:tickLblPos val="nextTo"/>
        <c:spPr>
          <a:ln w="9360" cap="flat" cmpd="sng" algn="ctr">
            <a:solidFill>
              <a:srgbClr val="D9D9D9"/>
            </a:solidFill>
            <a:prstDash val="solid"/>
            <a:round/>
          </a:ln>
        </c:spPr>
        <c:txPr>
          <a:bodyPr rot="-60000000" spcFirstLastPara="0" vertOverflow="ellipsis" vert="horz" wrap="square" anchor="ctr" anchorCtr="1"/>
          <a:lstStyle/>
          <a:p>
            <a:pPr>
              <a:defRPr lang="zh-CN" sz="800" b="0" i="0" u="none" strike="noStrike" kern="1200" spc="-1" baseline="0">
                <a:solidFill>
                  <a:srgbClr val="595959"/>
                </a:solidFill>
                <a:latin typeface="Calibri" panose="020F0502020204030204"/>
                <a:ea typeface="+mn-ea"/>
                <a:cs typeface="+mn-cs"/>
              </a:defRPr>
            </a:pPr>
          </a:p>
        </c:txPr>
        <c:crossAx val="43490987"/>
        <c:crosses val="autoZero"/>
        <c:auto val="1"/>
        <c:lblAlgn val="ctr"/>
        <c:lblOffset val="100"/>
        <c:noMultiLvlLbl val="0"/>
      </c:catAx>
      <c:valAx>
        <c:axId val="43490987"/>
        <c:scaling>
          <c:orientation val="minMax"/>
        </c:scaling>
        <c:delete val="0"/>
        <c:axPos val="l"/>
        <c:majorGridlines>
          <c:spPr>
            <a:ln w="9360" cap="flat" cmpd="sng" algn="ctr">
              <a:solidFill>
                <a:srgbClr val="D9D9D9"/>
              </a:solidFill>
              <a:prstDash val="solid"/>
              <a:round/>
            </a:ln>
          </c:spPr>
        </c:majorGridlines>
        <c:numFmt formatCode="General" sourceLinked="0"/>
        <c:majorTickMark val="none"/>
        <c:minorTickMark val="none"/>
        <c:tickLblPos val="nextTo"/>
        <c:spPr>
          <a:ln w="6480" cap="flat" cmpd="sng" algn="ctr">
            <a:noFill/>
            <a:prstDash val="solid"/>
            <a:round/>
          </a:ln>
        </c:spPr>
        <c:txPr>
          <a:bodyPr rot="-60000000" spcFirstLastPara="0" vertOverflow="ellipsis" vert="horz" wrap="square" anchor="ctr" anchorCtr="1"/>
          <a:lstStyle/>
          <a:p>
            <a:pPr>
              <a:defRPr lang="zh-CN" sz="900" b="0" i="0" u="none" strike="noStrike" kern="1200" spc="-1" baseline="0">
                <a:solidFill>
                  <a:srgbClr val="595959"/>
                </a:solidFill>
                <a:latin typeface="Calibri" panose="020F0502020204030204"/>
                <a:ea typeface="+mn-ea"/>
                <a:cs typeface="+mn-cs"/>
              </a:defRPr>
            </a:pPr>
          </a:p>
        </c:txPr>
        <c:crossAx val="3507824"/>
        <c:crosses val="autoZero"/>
        <c:crossBetween val="between"/>
      </c:valAx>
      <c:spPr>
        <a:noFill/>
        <a:ln>
          <a:noFill/>
        </a:ln>
      </c:spPr>
    </c:plotArea>
    <c:plotVisOnly val="1"/>
    <c:dispBlanksAs val="gap"/>
    <c:showDLblsOverMax val="0"/>
  </c:chart>
  <c:spPr>
    <a:solidFill>
      <a:srgbClr val="FFFFFF"/>
    </a:solidFill>
    <a:ln w="9360" cap="flat" cmpd="sng" algn="ctr">
      <a:solidFill>
        <a:srgbClr val="D9D9D9"/>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80" b="0" i="0" u="none" strike="noStrike" kern="1200" spc="0" baseline="0">
                <a:solidFill>
                  <a:schemeClr val="tx1">
                    <a:lumMod val="65000"/>
                    <a:lumOff val="35000"/>
                  </a:schemeClr>
                </a:solidFill>
                <a:latin typeface="+mn-lt"/>
                <a:ea typeface="+mn-ea"/>
                <a:cs typeface="+mn-cs"/>
              </a:defRPr>
            </a:pPr>
            <a:r>
              <a:rPr sz="1200">
                <a:latin typeface="微软雅黑" panose="020B0503020204020204" charset="-122"/>
                <a:ea typeface="微软雅黑" panose="020B0503020204020204" charset="-122"/>
                <a:cs typeface="微软雅黑" panose="020B0503020204020204" charset="-122"/>
              </a:rPr>
              <a:t>图3 信息科学与工程学院202</a:t>
            </a:r>
            <a:r>
              <a:rPr lang="en-US" altLang="zh-CN" sz="1200">
                <a:latin typeface="微软雅黑" panose="020B0503020204020204" charset="-122"/>
                <a:ea typeface="微软雅黑" panose="020B0503020204020204" charset="-122"/>
                <a:cs typeface="微软雅黑" panose="020B0503020204020204" charset="-122"/>
              </a:rPr>
              <a:t>1</a:t>
            </a:r>
            <a:r>
              <a:rPr sz="1200">
                <a:latin typeface="微软雅黑" panose="020B0503020204020204" charset="-122"/>
                <a:ea typeface="微软雅黑" panose="020B0503020204020204" charset="-122"/>
                <a:cs typeface="微软雅黑" panose="020B0503020204020204" charset="-122"/>
              </a:rPr>
              <a:t>届毕业生各专业人数</a:t>
            </a:r>
            <a:endParaRPr sz="1200">
              <a:latin typeface="微软雅黑" panose="020B0503020204020204" charset="-122"/>
              <a:ea typeface="微软雅黑" panose="020B0503020204020204" charset="-122"/>
              <a:cs typeface="微软雅黑" panose="020B0503020204020204" charset="-122"/>
            </a:endParaRPr>
          </a:p>
          <a:p>
            <a:pPr defTabSz="914400">
              <a:defRPr lang="zh-CN" sz="1080" b="0" i="0" u="none" strike="noStrike" kern="1200" spc="0" baseline="0">
                <a:solidFill>
                  <a:schemeClr val="tx1">
                    <a:lumMod val="65000"/>
                    <a:lumOff val="35000"/>
                  </a:schemeClr>
                </a:solidFill>
                <a:latin typeface="+mn-lt"/>
                <a:ea typeface="+mn-ea"/>
                <a:cs typeface="+mn-cs"/>
              </a:defRPr>
            </a:pPr>
            <a:endParaRPr sz="1200">
              <a:latin typeface="微软雅黑" panose="020B0503020204020204" charset="-122"/>
              <a:ea typeface="微软雅黑" panose="020B0503020204020204" charset="-122"/>
              <a:cs typeface="微软雅黑" panose="020B0503020204020204"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38.6</a:t>
                    </a:r>
                    <a:r>
                      <a:rPr lang="en-US" altLang="zh-CN"/>
                      <a:t>1</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a:t>
                    </a:r>
                    <a:r>
                      <a:rPr lang="en-US" altLang="zh-CN"/>
                      <a:t>8.06</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15.</a:t>
                    </a:r>
                    <a:r>
                      <a:rPr lang="en-US" altLang="zh-CN"/>
                      <a:t>83</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a:t>
                    </a:r>
                    <a:r>
                      <a:rPr lang="en-US" altLang="zh-CN"/>
                      <a:t>7.50</a:t>
                    </a:r>
                    <a:r>
                      <a:t>%</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[工作簿1]Sheet1!$A$2:$D$2</c:f>
              <c:strCache>
                <c:ptCount val="4"/>
                <c:pt idx="0">
                  <c:v>计算机科学与技术</c:v>
                </c:pt>
                <c:pt idx="1">
                  <c:v>电子信息工程</c:v>
                </c:pt>
                <c:pt idx="2">
                  <c:v>通信工程</c:v>
                </c:pt>
                <c:pt idx="3">
                  <c:v>电气工程及其自动化</c:v>
                </c:pt>
              </c:strCache>
            </c:strRef>
          </c:cat>
          <c:val>
            <c:numRef>
              <c:f>[工作簿1]Sheet1!$A$3:$D$3</c:f>
              <c:numCache>
                <c:formatCode>0.00%</c:formatCode>
                <c:ptCount val="4"/>
                <c:pt idx="0">
                  <c:v>0.3864</c:v>
                </c:pt>
                <c:pt idx="1">
                  <c:v>0.1786</c:v>
                </c:pt>
                <c:pt idx="2">
                  <c:v>0.1566</c:v>
                </c:pt>
                <c:pt idx="3">
                  <c:v>0.2802</c:v>
                </c:pt>
              </c:numCache>
            </c:numRef>
          </c:val>
        </c:ser>
        <c:dLbls>
          <c:showLegendKey val="0"/>
          <c:showVal val="1"/>
          <c:showCatName val="0"/>
          <c:showSerName val="0"/>
          <c:showPercent val="0"/>
          <c:showBubbleSize val="0"/>
        </c:dLbls>
        <c:gapWidth val="219"/>
        <c:overlap val="-27"/>
        <c:axId val="326135611"/>
        <c:axId val="121756486"/>
      </c:barChart>
      <c:catAx>
        <c:axId val="3261356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1756486"/>
        <c:crosses val="autoZero"/>
        <c:auto val="1"/>
        <c:lblAlgn val="ctr"/>
        <c:lblOffset val="100"/>
        <c:noMultiLvlLbl val="0"/>
      </c:catAx>
      <c:valAx>
        <c:axId val="12175648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61356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900"/>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t>图4 </a:t>
            </a:r>
            <a:r>
              <a:rPr lang="en-US" altLang="zh-CN" sz="1200"/>
              <a:t> </a:t>
            </a:r>
            <a:r>
              <a:rPr sz="1200"/>
              <a:t>信息科学与工程学院毕业生继续深造情况</a:t>
            </a:r>
            <a:endParaRPr sz="1200"/>
          </a:p>
        </c:rich>
      </c:tx>
      <c:layout>
        <c:manualLayout>
          <c:xMode val="edge"/>
          <c:yMode val="edge"/>
          <c:x val="0.168958333333333"/>
          <c:y val="0.03125"/>
        </c:manualLayout>
      </c:layout>
      <c:overlay val="0"/>
      <c:spPr>
        <a:noFill/>
        <a:ln>
          <a:noFill/>
        </a:ln>
        <a:effectLst/>
      </c:spPr>
    </c:title>
    <c:autoTitleDeleted val="0"/>
    <c:plotArea>
      <c:layout>
        <c:manualLayout>
          <c:layoutTarget val="inner"/>
          <c:xMode val="edge"/>
          <c:yMode val="edge"/>
          <c:x val="0.300459674049311"/>
          <c:y val="0.25974025974026"/>
          <c:w val="0.408552723220504"/>
          <c:h val="0.692561983471074"/>
        </c:manualLayout>
      </c:layout>
      <c:pieChart>
        <c:varyColors val="1"/>
        <c:ser>
          <c:idx val="0"/>
          <c:order val="0"/>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Lbls>
            <c:dLbl>
              <c:idx val="0"/>
              <c:layout>
                <c:manualLayout>
                  <c:x val="-0.0510055489001891"/>
                  <c:y val="-0.20871271596822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88.33</a:t>
                    </a:r>
                    <a:r>
                      <a:t>%</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325333170473623"/>
                  <c:y val="0.1147352709034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1</a:t>
                    </a:r>
                    <a:r>
                      <a:rPr lang="en-US" altLang="zh-CN"/>
                      <a:t>1.67</a:t>
                    </a:r>
                    <a:r>
                      <a:t>%</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[工作簿1]Sheet1!$A$2:$B$2</c:f>
              <c:strCache>
                <c:ptCount val="2"/>
                <c:pt idx="0">
                  <c:v>总人数</c:v>
                </c:pt>
                <c:pt idx="1">
                  <c:v>升学人数</c:v>
                </c:pt>
              </c:strCache>
            </c:strRef>
          </c:cat>
          <c:val>
            <c:numRef>
              <c:f>[工作簿1]Sheet1!$A$3:$B$3</c:f>
              <c:numCache>
                <c:formatCode>0_ </c:formatCode>
                <c:ptCount val="2"/>
                <c:pt idx="0">
                  <c:v>360</c:v>
                </c:pt>
                <c:pt idx="1">
                  <c:v>42</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5 </a:t>
            </a:r>
            <a:r>
              <a:t>用人单位对我院毕业生综合素质的评价</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[工作簿2]Sheet1!$B$12:$G$12</c:f>
              <c:strCache>
                <c:ptCount val="6"/>
                <c:pt idx="0">
                  <c:v>思想政治与道德素质</c:v>
                </c:pt>
                <c:pt idx="1">
                  <c:v>工作态度</c:v>
                </c:pt>
                <c:pt idx="2">
                  <c:v>专业水平</c:v>
                </c:pt>
                <c:pt idx="3">
                  <c:v>职业能力</c:v>
                </c:pt>
                <c:pt idx="4">
                  <c:v>工作岗位匹配度</c:v>
                </c:pt>
                <c:pt idx="5">
                  <c:v>综合评价</c:v>
                </c:pt>
              </c:strCache>
            </c:strRef>
          </c:cat>
          <c:val>
            <c:numRef>
              <c:f>[工作簿2]Sheet1!$B$13:$G$13</c:f>
              <c:numCache>
                <c:formatCode>0.00%</c:formatCode>
                <c:ptCount val="6"/>
                <c:pt idx="0">
                  <c:v>0.880952380952381</c:v>
                </c:pt>
                <c:pt idx="1">
                  <c:v>0.841269841269841</c:v>
                </c:pt>
                <c:pt idx="2">
                  <c:v>0.876190476190476</c:v>
                </c:pt>
                <c:pt idx="3">
                  <c:v>0.886446886446886</c:v>
                </c:pt>
                <c:pt idx="4">
                  <c:v>0.936507936507936</c:v>
                </c:pt>
                <c:pt idx="5">
                  <c:v>0.936507936507936</c:v>
                </c:pt>
              </c:numCache>
            </c:numRef>
          </c:val>
        </c:ser>
        <c:dLbls>
          <c:showLegendKey val="0"/>
          <c:showVal val="1"/>
          <c:showCatName val="0"/>
          <c:showSerName val="0"/>
          <c:showPercent val="0"/>
          <c:showBubbleSize val="0"/>
        </c:dLbls>
        <c:gapWidth val="219"/>
        <c:overlap val="-27"/>
        <c:axId val="714049680"/>
        <c:axId val="892502550"/>
      </c:barChart>
      <c:catAx>
        <c:axId val="7140496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2502550"/>
        <c:crosses val="autoZero"/>
        <c:auto val="1"/>
        <c:lblAlgn val="ctr"/>
        <c:lblOffset val="100"/>
        <c:noMultiLvlLbl val="0"/>
      </c:catAx>
      <c:valAx>
        <c:axId val="89250255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404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图6 用人单位对我院就业创业工作的评价</a:t>
            </a:r>
          </a:p>
          <a:p>
            <a:pPr defTabSz="914400">
              <a:defRPr lang="zh-CN" sz="1400" b="0" i="0" u="none" strike="noStrike" kern="1200" spc="0" baseline="0">
                <a:solidFill>
                  <a:schemeClr val="tx1">
                    <a:lumMod val="65000"/>
                    <a:lumOff val="35000"/>
                  </a:schemeClr>
                </a:solidFill>
                <a:latin typeface="+mn-lt"/>
                <a:ea typeface="+mn-ea"/>
                <a:cs typeface="+mn-cs"/>
              </a:defRPr>
            </a:pPr>
          </a:p>
        </c:rich>
      </c:tx>
      <c:layout/>
      <c:overlay val="0"/>
      <c:spPr>
        <a:noFill/>
        <a:ln>
          <a:noFill/>
        </a:ln>
        <a:effectLst/>
      </c:spPr>
    </c:title>
    <c:autoTitleDeleted val="0"/>
    <c:plotArea>
      <c:layout/>
      <c:barChart>
        <c:barDir val="col"/>
        <c:grouping val="clustered"/>
        <c:varyColors val="0"/>
        <c:ser>
          <c:idx val="0"/>
          <c:order val="0"/>
          <c:tx>
            <c:strRef>
              <c:f>[工作簿2]Sheet1!$B$17</c:f>
              <c:strCache>
                <c:ptCount val="1"/>
                <c:pt idx="0">
                  <c:v>校园招聘服务工作水平</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[工作簿2]Sheet1!$A$18:$A$22</c:f>
              <c:strCache>
                <c:ptCount val="5"/>
                <c:pt idx="0">
                  <c:v>非常满意</c:v>
                </c:pt>
                <c:pt idx="1">
                  <c:v>满意</c:v>
                </c:pt>
                <c:pt idx="2">
                  <c:v>一般</c:v>
                </c:pt>
                <c:pt idx="3">
                  <c:v>不满意</c:v>
                </c:pt>
                <c:pt idx="4">
                  <c:v>非常不满意</c:v>
                </c:pt>
              </c:strCache>
            </c:strRef>
          </c:cat>
          <c:val>
            <c:numRef>
              <c:f>[工作簿2]Sheet1!$B$18:$B$22</c:f>
              <c:numCache>
                <c:formatCode>General</c:formatCode>
                <c:ptCount val="5"/>
                <c:pt idx="0">
                  <c:v>28</c:v>
                </c:pt>
                <c:pt idx="1">
                  <c:v>2</c:v>
                </c:pt>
                <c:pt idx="2">
                  <c:v>0</c:v>
                </c:pt>
                <c:pt idx="3">
                  <c:v>0</c:v>
                </c:pt>
                <c:pt idx="4">
                  <c:v>0</c:v>
                </c:pt>
              </c:numCache>
            </c:numRef>
          </c:val>
        </c:ser>
        <c:ser>
          <c:idx val="1"/>
          <c:order val="1"/>
          <c:tx>
            <c:strRef>
              <c:f>[工作簿2]Sheet1!$C$17</c:f>
              <c:strCache>
                <c:ptCount val="1"/>
                <c:pt idx="0">
                  <c:v>学生就业指导服务工作水平</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[工作簿2]Sheet1!$A$18:$A$22</c:f>
              <c:strCache>
                <c:ptCount val="5"/>
                <c:pt idx="0">
                  <c:v>非常满意</c:v>
                </c:pt>
                <c:pt idx="1">
                  <c:v>满意</c:v>
                </c:pt>
                <c:pt idx="2">
                  <c:v>一般</c:v>
                </c:pt>
                <c:pt idx="3">
                  <c:v>不满意</c:v>
                </c:pt>
                <c:pt idx="4">
                  <c:v>非常不满意</c:v>
                </c:pt>
              </c:strCache>
            </c:strRef>
          </c:cat>
          <c:val>
            <c:numRef>
              <c:f>[工作簿2]Sheet1!$C$18:$C$22</c:f>
              <c:numCache>
                <c:formatCode>General</c:formatCode>
                <c:ptCount val="5"/>
                <c:pt idx="0">
                  <c:v>29</c:v>
                </c:pt>
                <c:pt idx="1">
                  <c:v>1</c:v>
                </c:pt>
                <c:pt idx="2">
                  <c:v>0</c:v>
                </c:pt>
                <c:pt idx="3">
                  <c:v>0</c:v>
                </c:pt>
                <c:pt idx="4">
                  <c:v>0</c:v>
                </c:pt>
              </c:numCache>
            </c:numRef>
          </c:val>
        </c:ser>
        <c:dLbls>
          <c:showLegendKey val="0"/>
          <c:showVal val="1"/>
          <c:showCatName val="0"/>
          <c:showSerName val="0"/>
          <c:showPercent val="0"/>
          <c:showBubbleSize val="0"/>
        </c:dLbls>
        <c:gapWidth val="219"/>
        <c:overlap val="-27"/>
        <c:axId val="311430970"/>
        <c:axId val="903772731"/>
      </c:barChart>
      <c:catAx>
        <c:axId val="3114309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3772731"/>
        <c:crosses val="autoZero"/>
        <c:auto val="1"/>
        <c:lblAlgn val="ctr"/>
        <c:lblOffset val="100"/>
        <c:noMultiLvlLbl val="0"/>
      </c:catAx>
      <c:valAx>
        <c:axId val="9037727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14309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7 </a:t>
            </a:r>
            <a:r>
              <a:t>毕业生对当前工作的满意度</a:t>
            </a:r>
          </a:p>
        </c:rich>
      </c:tx>
      <c:layout/>
      <c:overlay val="0"/>
      <c:spPr>
        <a:noFill/>
        <a:ln>
          <a:noFill/>
        </a:ln>
        <a:effectLst/>
      </c:spPr>
    </c:title>
    <c:autoTitleDeleted val="0"/>
    <c:plotArea>
      <c:layout/>
      <c:barChart>
        <c:barDir val="col"/>
        <c:grouping val="clustered"/>
        <c:varyColors val="0"/>
        <c:ser>
          <c:idx val="0"/>
          <c:order val="0"/>
          <c:tx>
            <c:strRef>
              <c:f>[工作簿2]Sheet1!$B$17</c:f>
              <c:strCache>
                <c:ptCount val="1"/>
                <c:pt idx="0">
                  <c:v>毕业生对当前工作的满意度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[工作簿2]Sheet1!$A$18:$A$22</c:f>
              <c:strCache>
                <c:ptCount val="5"/>
                <c:pt idx="0">
                  <c:v>非常满意</c:v>
                </c:pt>
                <c:pt idx="1">
                  <c:v>满意</c:v>
                </c:pt>
                <c:pt idx="2">
                  <c:v>一般</c:v>
                </c:pt>
                <c:pt idx="3">
                  <c:v>不满意</c:v>
                </c:pt>
                <c:pt idx="4">
                  <c:v>非常不满意</c:v>
                </c:pt>
              </c:strCache>
            </c:strRef>
          </c:cat>
          <c:val>
            <c:numRef>
              <c:f>[工作簿2]Sheet1!$B$18:$B$22</c:f>
              <c:numCache>
                <c:formatCode>General</c:formatCode>
                <c:ptCount val="5"/>
                <c:pt idx="0">
                  <c:v>68</c:v>
                </c:pt>
                <c:pt idx="1">
                  <c:v>25</c:v>
                </c:pt>
                <c:pt idx="2">
                  <c:v>7</c:v>
                </c:pt>
                <c:pt idx="3">
                  <c:v>0</c:v>
                </c:pt>
                <c:pt idx="4">
                  <c:v>0</c:v>
                </c:pt>
              </c:numCache>
            </c:numRef>
          </c:val>
        </c:ser>
        <c:dLbls>
          <c:showLegendKey val="0"/>
          <c:showVal val="1"/>
          <c:showCatName val="0"/>
          <c:showSerName val="0"/>
          <c:showPercent val="0"/>
          <c:showBubbleSize val="0"/>
        </c:dLbls>
        <c:gapWidth val="219"/>
        <c:overlap val="-27"/>
        <c:axId val="815590668"/>
        <c:axId val="652367473"/>
      </c:barChart>
      <c:catAx>
        <c:axId val="8155906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2367473"/>
        <c:crosses val="autoZero"/>
        <c:auto val="1"/>
        <c:lblAlgn val="ctr"/>
        <c:lblOffset val="100"/>
        <c:noMultiLvlLbl val="0"/>
      </c:catAx>
      <c:valAx>
        <c:axId val="65236747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55906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8 </a:t>
            </a:r>
            <a:r>
              <a:rPr altLang="en-US"/>
              <a:t>对学院</a:t>
            </a:r>
            <a:r>
              <a:t>就业创业工作满意度</a:t>
            </a:r>
          </a:p>
        </c:rich>
      </c:tx>
      <c:layout/>
      <c:overlay val="0"/>
      <c:spPr>
        <a:noFill/>
        <a:ln>
          <a:noFill/>
        </a:ln>
        <a:effectLst/>
      </c:spPr>
    </c:title>
    <c:autoTitleDeleted val="0"/>
    <c:plotArea>
      <c:layout/>
      <c:barChart>
        <c:barDir val="col"/>
        <c:grouping val="clustered"/>
        <c:varyColors val="0"/>
        <c:ser>
          <c:idx val="0"/>
          <c:order val="0"/>
          <c:tx>
            <c:strRef>
              <c:f>[工作簿2]Sheet1!$B$17</c:f>
              <c:strCache>
                <c:ptCount val="1"/>
                <c:pt idx="0">
                  <c:v>就业创业工作满意度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[工作簿2]Sheet1!$A$18:$A$22</c:f>
              <c:strCache>
                <c:ptCount val="5"/>
                <c:pt idx="0">
                  <c:v>非常满意</c:v>
                </c:pt>
                <c:pt idx="1">
                  <c:v>满意</c:v>
                </c:pt>
                <c:pt idx="2">
                  <c:v>一般</c:v>
                </c:pt>
                <c:pt idx="3">
                  <c:v>不满意</c:v>
                </c:pt>
                <c:pt idx="4">
                  <c:v>非常不满意</c:v>
                </c:pt>
              </c:strCache>
            </c:strRef>
          </c:cat>
          <c:val>
            <c:numRef>
              <c:f>[工作簿2]Sheet1!$B$18:$B$22</c:f>
              <c:numCache>
                <c:formatCode>General</c:formatCode>
                <c:ptCount val="5"/>
                <c:pt idx="0">
                  <c:v>82</c:v>
                </c:pt>
                <c:pt idx="1">
                  <c:v>13</c:v>
                </c:pt>
                <c:pt idx="2">
                  <c:v>5</c:v>
                </c:pt>
                <c:pt idx="3">
                  <c:v>0</c:v>
                </c:pt>
                <c:pt idx="4">
                  <c:v>0</c:v>
                </c:pt>
              </c:numCache>
            </c:numRef>
          </c:val>
        </c:ser>
        <c:dLbls>
          <c:showLegendKey val="0"/>
          <c:showVal val="1"/>
          <c:showCatName val="0"/>
          <c:showSerName val="0"/>
          <c:showPercent val="0"/>
          <c:showBubbleSize val="0"/>
        </c:dLbls>
        <c:gapWidth val="219"/>
        <c:overlap val="-27"/>
        <c:axId val="13979698"/>
        <c:axId val="421713073"/>
      </c:barChart>
      <c:catAx>
        <c:axId val="1397969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1713073"/>
        <c:crosses val="autoZero"/>
        <c:auto val="1"/>
        <c:lblAlgn val="ctr"/>
        <c:lblOffset val="100"/>
        <c:noMultiLvlLbl val="0"/>
      </c:catAx>
      <c:valAx>
        <c:axId val="42171307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97969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7232</Words>
  <Characters>8166</Characters>
  <Paragraphs>546</Paragraphs>
  <TotalTime>19</TotalTime>
  <ScaleCrop>false</ScaleCrop>
  <LinksUpToDate>false</LinksUpToDate>
  <CharactersWithSpaces>8334</CharactersWithSpaces>
  <Application>WPS Office_11.1.0.11194_F1E327BC-269C-435d-A152-05C5408002CA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2019-01-10T08:32:00Z</dcterms:created>
  <dc:creator>Mr.Sea</dc:creator>
  <cp:lastModifiedBy>MrJ1395232620</cp:lastModifiedBy>
  <cp:lastPrinted>2021-12-27T07:28:00Z</cp:lastPrinted>
  <dcterms:modified xsi:type="dcterms:W3CDTF">2021-12-27T08:20:24Z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2052-11.1.0.11194</vt:lpwstr>
  </property>
  <property fmtid="{D5CDD505-2E9C-101B-9397-08002B2CF9AE}" pid="4" name="KSORubyTemplateID">
    <vt:lpwstr>6</vt:lpwstr>
  </property>
  <property fmtid="{D5CDD505-2E9C-101B-9397-08002B2CF9AE}" pid="5" name="LinksUpToDate">
    <vt:bool>false</vt:bool>
  </property>
  <property fmtid="{D5CDD505-2E9C-101B-9397-08002B2CF9AE}" pid="6" name="ScaleCrop">
    <vt:bool>false</vt:bool>
  </property>
  <property fmtid="{D5CDD505-2E9C-101B-9397-08002B2CF9AE}" pid="7" name="ICV">
    <vt:lpwstr>539C21C2814C4103A20772C886B4F060</vt:lpwstr>
  </property>
</Properties>
</file>