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jc w:val="center"/>
        <w:rPr>
          <w:rFonts w:hint="eastAsia" w:ascii="楷体" w:hAnsi="楷体" w:eastAsia="楷体"/>
          <w:b/>
          <w:bCs w:val="0"/>
          <w:sz w:val="32"/>
          <w:szCs w:val="24"/>
        </w:rPr>
      </w:pPr>
      <w:r>
        <w:rPr>
          <w:rFonts w:hint="eastAsia" w:ascii="楷体" w:hAnsi="楷体" w:eastAsia="楷体"/>
          <w:b/>
          <w:bCs w:val="0"/>
          <w:sz w:val="32"/>
          <w:szCs w:val="24"/>
        </w:rPr>
        <w:t>信息科学与工程学院2019年硕士研究生</w:t>
      </w:r>
    </w:p>
    <w:p>
      <w:pPr>
        <w:pStyle w:val="2"/>
        <w:spacing w:line="440" w:lineRule="exact"/>
        <w:jc w:val="center"/>
        <w:rPr>
          <w:rFonts w:hint="eastAsia" w:ascii="楷体" w:hAnsi="楷体" w:eastAsia="楷体"/>
          <w:b/>
          <w:bCs w:val="0"/>
          <w:sz w:val="32"/>
          <w:szCs w:val="24"/>
        </w:rPr>
      </w:pPr>
      <w:r>
        <w:rPr>
          <w:rFonts w:hint="eastAsia" w:ascii="楷体" w:hAnsi="楷体" w:eastAsia="楷体"/>
          <w:b/>
          <w:bCs w:val="0"/>
          <w:sz w:val="32"/>
          <w:szCs w:val="24"/>
          <w:lang w:eastAsia="zh-CN"/>
        </w:rPr>
        <w:t>调剂</w:t>
      </w:r>
      <w:r>
        <w:rPr>
          <w:rFonts w:hint="eastAsia" w:ascii="楷体" w:hAnsi="楷体" w:eastAsia="楷体"/>
          <w:b/>
          <w:bCs w:val="0"/>
          <w:sz w:val="32"/>
          <w:szCs w:val="24"/>
        </w:rPr>
        <w:t>复试录取工作方案</w:t>
      </w:r>
    </w:p>
    <w:p>
      <w:pPr>
        <w:pStyle w:val="2"/>
        <w:spacing w:line="440" w:lineRule="exact"/>
        <w:jc w:val="center"/>
        <w:rPr>
          <w:rFonts w:hint="eastAsia" w:ascii="楷体" w:hAnsi="楷体" w:eastAsia="楷体"/>
          <w:b/>
          <w:bCs w:val="0"/>
          <w:sz w:val="32"/>
          <w:szCs w:val="24"/>
        </w:rPr>
      </w:pPr>
    </w:p>
    <w:p>
      <w:pPr>
        <w:pStyle w:val="2"/>
        <w:spacing w:line="440" w:lineRule="exact"/>
        <w:rPr>
          <w:rFonts w:hint="eastAsia" w:ascii="楷体" w:hAnsi="楷体" w:eastAsia="楷体"/>
          <w:b w:val="0"/>
          <w:bCs/>
          <w:sz w:val="32"/>
          <w:szCs w:val="24"/>
        </w:rPr>
      </w:pP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根据《教育部办公厅关于进一步规范和加强研究生考试招生工作的通知》教学厅[2019]2号）、《2019年全国硕士研究生招生工作管理规定》(教学[2018]5 号)和《教育部关于加强硕士研究生招生复试工作的指导意见》(教学[2006]4号)、湖南省2019年硕士研究生招生录取工作会议精神和《吉首大学2019年硕士研究生复试录取工作方案》，为了保障信息科学与工程学院2019年研究生复试录取工作顺利进行，结合我院的具体情况，就我院研究生复试工</w:t>
      </w:r>
      <w:bookmarkStart w:id="0" w:name="_GoBack"/>
      <w:bookmarkEnd w:id="0"/>
      <w:r>
        <w:rPr>
          <w:rFonts w:hint="eastAsia" w:ascii="楷体" w:hAnsi="楷体" w:eastAsia="楷体"/>
          <w:b w:val="0"/>
          <w:bCs/>
          <w:sz w:val="32"/>
          <w:szCs w:val="24"/>
        </w:rPr>
        <w:t>作做如下安排：</w:t>
      </w:r>
    </w:p>
    <w:p>
      <w:pPr>
        <w:pStyle w:val="2"/>
        <w:spacing w:line="440" w:lineRule="exact"/>
        <w:ind w:firstLine="640" w:firstLineChars="200"/>
        <w:rPr>
          <w:rFonts w:hint="eastAsia" w:ascii="楷体" w:hAnsi="楷体" w:eastAsia="楷体"/>
          <w:b w:val="0"/>
          <w:bCs/>
          <w:sz w:val="32"/>
          <w:szCs w:val="24"/>
        </w:rPr>
      </w:pP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一、复试工作原则</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坚持“按需招生、全面衡量、择优录取和宁缺毋滥”的原则，积极探索科学、规范的复试办法，严格执行复试程序，强化复试选拔功能。深化信息公开，不断加强监督管理，切实严明招生纪律，确保硕士研究生招生录取工作科学、规范、公平、公正、公开。</w:t>
      </w:r>
    </w:p>
    <w:p>
      <w:pPr>
        <w:pStyle w:val="2"/>
        <w:spacing w:line="440" w:lineRule="exact"/>
        <w:ind w:firstLine="640" w:firstLineChars="200"/>
        <w:rPr>
          <w:rFonts w:hint="eastAsia" w:ascii="楷体" w:hAnsi="楷体" w:eastAsia="楷体"/>
          <w:b w:val="0"/>
          <w:bCs/>
          <w:sz w:val="32"/>
          <w:szCs w:val="24"/>
        </w:rPr>
      </w:pP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二、复试基本条件</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1、复试资格线：初试成绩须达到2019年全国硕士研究生招生考试考生进入复试的初试成绩（专业学位类）中工程学科(不含工程照顾领域)的基本要求（执行国家B类线）。</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2.考生符合《吉首大学2019年攻读硕士学位研究生招生简章》的相关规定及要求，并且资格审查合格。</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3.本学院不接收破格考生。</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4.具备教育部规定加分资格（如“大学生志愿服务西部计划”、“三支一扶计划”等）的考生，由学院审核有关材料，并上报研究生院复核。</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5.复试采取差额复试，差额比例1:3</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三、复试安排</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复试时间：2019年4月10日--2019年4月13日</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1、资格审查</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所有参加复试的考生都必须进行资格审查，资格审查材料如下：</w:t>
      </w:r>
    </w:p>
    <w:p>
      <w:pPr>
        <w:pStyle w:val="2"/>
        <w:spacing w:line="440" w:lineRule="exact"/>
        <w:ind w:firstLine="320" w:firstLineChars="100"/>
        <w:rPr>
          <w:rFonts w:hint="eastAsia" w:ascii="楷体" w:hAnsi="楷体" w:eastAsia="楷体"/>
          <w:b w:val="0"/>
          <w:bCs/>
          <w:sz w:val="32"/>
          <w:szCs w:val="24"/>
        </w:rPr>
      </w:pPr>
      <w:r>
        <w:rPr>
          <w:rFonts w:hint="eastAsia" w:ascii="楷体" w:hAnsi="楷体" w:eastAsia="楷体"/>
          <w:b w:val="0"/>
          <w:bCs/>
          <w:sz w:val="32"/>
          <w:szCs w:val="24"/>
        </w:rPr>
        <w:t>（1）应届生：二代身份证原件、初试准考证原件、学生证原件或学信网在线学籍认证报告。</w:t>
      </w:r>
    </w:p>
    <w:p>
      <w:pPr>
        <w:pStyle w:val="2"/>
        <w:spacing w:line="440" w:lineRule="exact"/>
        <w:ind w:firstLine="320" w:firstLineChars="100"/>
        <w:rPr>
          <w:rFonts w:hint="eastAsia" w:ascii="楷体" w:hAnsi="楷体" w:eastAsia="楷体"/>
          <w:b w:val="0"/>
          <w:bCs/>
          <w:sz w:val="32"/>
          <w:szCs w:val="24"/>
        </w:rPr>
      </w:pPr>
      <w:r>
        <w:rPr>
          <w:rFonts w:hint="eastAsia" w:ascii="楷体" w:hAnsi="楷体" w:eastAsia="楷体"/>
          <w:b w:val="0"/>
          <w:bCs/>
          <w:sz w:val="32"/>
          <w:szCs w:val="24"/>
        </w:rPr>
        <w:t>（2）往届生：二代身份证原件、初试准考证原件、本科毕业证书原件、学士学位证书原件和教育部学信网下载的《教育部学历证书电子注册备案表》或《中国高等教育学历认证报告》复印件方可进行现场资格审查。专科起点获本科毕业证或者专升本的考生还需提交专科毕业证；在国外获得学位的考生，提供由教育部留学服务中心出具的认证报告。</w:t>
      </w:r>
    </w:p>
    <w:p>
      <w:pPr>
        <w:pStyle w:val="2"/>
        <w:spacing w:line="440" w:lineRule="exact"/>
        <w:ind w:firstLine="320" w:firstLineChars="100"/>
        <w:rPr>
          <w:rFonts w:hint="eastAsia" w:ascii="楷体" w:hAnsi="楷体" w:eastAsia="楷体"/>
          <w:b w:val="0"/>
          <w:bCs/>
          <w:sz w:val="32"/>
          <w:szCs w:val="24"/>
        </w:rPr>
      </w:pPr>
      <w:r>
        <w:rPr>
          <w:rFonts w:hint="eastAsia" w:ascii="楷体" w:hAnsi="楷体" w:eastAsia="楷体"/>
          <w:b w:val="0"/>
          <w:bCs/>
          <w:sz w:val="32"/>
          <w:szCs w:val="24"/>
        </w:rPr>
        <w:t>（3）大学生退役士兵计划考生还须提供《入伍批准书》和《退出现役证》原件及复印件。'</w:t>
      </w:r>
    </w:p>
    <w:p>
      <w:pPr>
        <w:pStyle w:val="2"/>
        <w:spacing w:line="440" w:lineRule="exact"/>
        <w:ind w:firstLine="320" w:firstLineChars="100"/>
        <w:rPr>
          <w:rFonts w:hint="eastAsia" w:ascii="楷体" w:hAnsi="楷体" w:eastAsia="楷体"/>
          <w:b w:val="0"/>
          <w:bCs/>
          <w:sz w:val="32"/>
          <w:szCs w:val="24"/>
        </w:rPr>
      </w:pPr>
      <w:r>
        <w:rPr>
          <w:rFonts w:hint="eastAsia" w:ascii="楷体" w:hAnsi="楷体" w:eastAsia="楷体"/>
          <w:b w:val="0"/>
          <w:bCs/>
          <w:sz w:val="32"/>
          <w:szCs w:val="24"/>
        </w:rPr>
        <w:t>（4）思想政治素质和品德考核表需由考生档案所在单位的人事、政工部门加盖印章；无学习或工作单位人员可请街道办事处开出相关证明（思想政治素质和品德考核表格式见附件一）。</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参加复试的考生在规定时间到学院报到，学院核查考生资格,资格审查通过后发放复试通知单；</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2、考生收到复试通知单后，应根据吉首大学信息科学与工程学院研究生复试工作流程完成复试各项测试（复试流程见附件二）。</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四、调剂</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1、调剂的基本程序：</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（1）考生登陆教育部研招网，填报调剂意愿，经学院审核通过后通知复试。</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（2）学院参照一志愿考生复试程序组织考生复试。</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（3）复试结果及拟录取情况由学院上报学校招生工作领导小组审核，研究生院负责发放“待录取”通知，考生在网上确认。  </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（4）未在规定时间内确认“复试通知”和“待录取通知”的考生视为自动放弃，取消相应资格。</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（5）省级教育招生考试机构进行终审，如不符合政策，将取消录取资格。</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五、复试方式和内容</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1、专业笔试</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复试考试科目为《计算机网络》和《数字电路》任选一门（不得与研究生初试考试科目相同），考试时间为2小时，满分为100分。</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2、综合素质及能力考察</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采用面试形式进行。全方位考察学生思想政治素质和品德、人文素养、举止、表达、礼仪和对该专业的基本理论、基本知识、学科前沿和基本技能掌握的程度以及运用所学基础知识和理论分析解决问题的能力和科研能力、创新能力（参考考生在大学阶段的学习成绩和工作实绩）。时间一般不少于20分钟，满分为100分。</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3、外语听力及口语测试</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以口语对话形式考察学生外语听说能力。时间一般不少于5分钟，满分100分。以口语对话形式考察学生外语听说能力。</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六、综合成绩计算办法及录取原则</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1、综合成绩计算方法</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初试成绩占50%、复试成绩占50%（外语能力测试占10%，专业课笔试占20%、综合素质及能力测试占20%），计算方式如下：</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（1）初试成绩 A=初试总成绩÷5×0.5</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（2）复试成绩B=外语能力测试成绩×0.1+专业课笔试成绩×0.2+ 综合素质及能力测试成绩×0.2</w:t>
      </w:r>
    </w:p>
    <w:p>
      <w:pPr>
        <w:pStyle w:val="2"/>
        <w:spacing w:line="440" w:lineRule="exact"/>
        <w:rPr>
          <w:rFonts w:hint="eastAsia" w:ascii="楷体" w:hAnsi="楷体" w:eastAsia="楷体"/>
          <w:b/>
          <w:bCs w:val="0"/>
          <w:sz w:val="32"/>
          <w:szCs w:val="24"/>
        </w:rPr>
      </w:pPr>
      <w:r>
        <w:rPr>
          <w:rFonts w:hint="eastAsia" w:ascii="楷体" w:hAnsi="楷体" w:eastAsia="楷体"/>
          <w:b/>
          <w:bCs w:val="0"/>
          <w:sz w:val="32"/>
          <w:szCs w:val="24"/>
          <w:u w:val="single"/>
        </w:rPr>
        <w:t>综合成绩=A+B</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2、录取规则</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（1）专业课笔试成绩、综合素质及能力测试成绩不合格者（60分为合格分），不予录取；如没有完整参加各个环节的复试，则视为复试不合格，不予录取。</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（2）思想政治素质和品德考核及体检不作量化计入总成绩，但考核结果不合格者不予录取。复试舞弊者，取消复试成绩，不予录取。</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（3）综合成绩为考生能否被录取的基本依据，学院根据分专业招生计划，择优录取。先按综合成绩录取一志愿复试合格考生，剩余指标由调剂生按总成绩排名进行录取。</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（4）综合成绩排名中如综合成绩相同，则以初试成绩排名，如再相同，则以初试英语成绩排名。</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 xml:space="preserve">  （5）有拟录取考生放弃录取资格者，在本学科内按综合成绩顺延递补拟录取。</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七、复试监督和复议</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学院在复试成绩公布一周内接受考生申诉，对申诉问题经调查属实的责成复试小组复议，若考生对复议结果还有异议，由各学院主管研究生的相关领导报学校研究生招生工作领导小组复议。</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申诉电话：0743-8563673、13037430822</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申诉邮箱：ynkej@163.com</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八、体检</w:t>
      </w:r>
    </w:p>
    <w:p>
      <w:pPr>
        <w:pStyle w:val="2"/>
        <w:spacing w:line="440" w:lineRule="exact"/>
        <w:ind w:firstLine="640" w:firstLineChars="200"/>
        <w:rPr>
          <w:rFonts w:hint="eastAsia" w:ascii="楷体" w:hAnsi="楷体" w:eastAsia="楷体"/>
          <w:b w:val="0"/>
          <w:bCs/>
          <w:sz w:val="32"/>
          <w:szCs w:val="24"/>
        </w:rPr>
      </w:pPr>
      <w:r>
        <w:rPr>
          <w:rFonts w:hint="eastAsia" w:ascii="楷体" w:hAnsi="楷体" w:eastAsia="楷体"/>
          <w:b w:val="0"/>
          <w:bCs/>
          <w:sz w:val="32"/>
          <w:szCs w:val="24"/>
        </w:rPr>
        <w:t>考生体检根据教育部、卫生部、残联制定的《普通高等学校招生体检工作指导意见》（教学[2003]3号）和《教育部办公厅、卫生部办公厅关于普通高等学校招生学生入学身体检查取消乙肝项目检测有关问题的通知》（教学厅〔2010〕2号）文件标准执行。</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九、其他注意事项</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1、未按规定时间到我校参加复试的考生按弃权处理；</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2、所有考生的初试成绩不提供打印材料。考生可在中国研究生招生信息网自行下载并打印初试成绩；</w:t>
      </w:r>
    </w:p>
    <w:p>
      <w:pPr>
        <w:pStyle w:val="2"/>
        <w:spacing w:line="440" w:lineRule="exact"/>
        <w:rPr>
          <w:rFonts w:hint="eastAsia" w:ascii="楷体" w:hAnsi="楷体" w:eastAsia="楷体"/>
          <w:b w:val="0"/>
          <w:bCs/>
          <w:sz w:val="32"/>
          <w:szCs w:val="24"/>
        </w:rPr>
      </w:pPr>
      <w:r>
        <w:rPr>
          <w:rFonts w:hint="eastAsia" w:ascii="楷体" w:hAnsi="楷体" w:eastAsia="楷体"/>
          <w:b w:val="0"/>
          <w:bCs/>
          <w:sz w:val="32"/>
          <w:szCs w:val="24"/>
        </w:rPr>
        <w:t>3、本方案最终解释权归吉首大学研究生院。</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val="0"/>
          <w:bCs/>
          <w:sz w:val="32"/>
          <w:szCs w:val="24"/>
        </w:rPr>
      </w:pPr>
    </w:p>
    <w:p>
      <w:pPr>
        <w:pStyle w:val="2"/>
        <w:spacing w:line="440" w:lineRule="exact"/>
        <w:ind w:firstLine="4160" w:firstLineChars="1300"/>
        <w:rPr>
          <w:rFonts w:hint="eastAsia" w:ascii="楷体" w:hAnsi="楷体" w:eastAsia="楷体"/>
          <w:b w:val="0"/>
          <w:bCs/>
          <w:sz w:val="32"/>
          <w:szCs w:val="24"/>
        </w:rPr>
      </w:pPr>
      <w:r>
        <w:rPr>
          <w:rFonts w:hint="eastAsia" w:ascii="楷体" w:hAnsi="楷体" w:eastAsia="楷体"/>
          <w:b w:val="0"/>
          <w:bCs/>
          <w:sz w:val="32"/>
          <w:szCs w:val="24"/>
        </w:rPr>
        <w:t>吉首大学信息科学与工程学院</w:t>
      </w:r>
    </w:p>
    <w:p>
      <w:pPr>
        <w:pStyle w:val="2"/>
        <w:spacing w:line="440" w:lineRule="exact"/>
        <w:rPr>
          <w:rFonts w:hint="eastAsia" w:ascii="楷体" w:hAnsi="楷体" w:eastAsia="楷体"/>
          <w:b w:val="0"/>
          <w:bCs/>
          <w:sz w:val="32"/>
          <w:szCs w:val="24"/>
        </w:rPr>
      </w:pPr>
    </w:p>
    <w:p>
      <w:pPr>
        <w:pStyle w:val="2"/>
        <w:spacing w:line="440" w:lineRule="exact"/>
        <w:ind w:firstLine="5120" w:firstLineChars="1600"/>
        <w:rPr>
          <w:rFonts w:hint="eastAsia" w:ascii="楷体" w:hAnsi="楷体" w:eastAsia="楷体"/>
          <w:b w:val="0"/>
          <w:bCs/>
          <w:sz w:val="32"/>
          <w:szCs w:val="24"/>
        </w:rPr>
      </w:pPr>
      <w:r>
        <w:rPr>
          <w:rFonts w:hint="eastAsia" w:ascii="楷体" w:hAnsi="楷体" w:eastAsia="楷体"/>
          <w:b w:val="0"/>
          <w:bCs/>
          <w:sz w:val="32"/>
          <w:szCs w:val="24"/>
        </w:rPr>
        <w:t>2019年4月7日</w:t>
      </w:r>
    </w:p>
    <w:p>
      <w:pPr>
        <w:pStyle w:val="2"/>
        <w:spacing w:line="440" w:lineRule="exact"/>
        <w:rPr>
          <w:rFonts w:hint="eastAsia" w:ascii="楷体" w:hAnsi="楷体" w:eastAsia="楷体"/>
          <w:b w:val="0"/>
          <w:bCs/>
          <w:sz w:val="32"/>
          <w:szCs w:val="24"/>
        </w:rPr>
      </w:pPr>
    </w:p>
    <w:p>
      <w:pPr>
        <w:pStyle w:val="2"/>
        <w:spacing w:line="440" w:lineRule="exact"/>
        <w:rPr>
          <w:rFonts w:hint="eastAsia" w:ascii="楷体" w:hAnsi="楷体" w:eastAsia="楷体"/>
          <w:b/>
          <w:sz w:val="32"/>
          <w:szCs w:val="24"/>
        </w:rPr>
      </w:pPr>
    </w:p>
    <w:p>
      <w:pPr>
        <w:pStyle w:val="2"/>
        <w:spacing w:line="440" w:lineRule="exact"/>
        <w:rPr>
          <w:rFonts w:hint="eastAsia" w:ascii="楷体" w:hAnsi="楷体" w:eastAsia="楷体"/>
          <w:b/>
          <w:sz w:val="32"/>
          <w:szCs w:val="24"/>
        </w:rPr>
      </w:pPr>
    </w:p>
    <w:p>
      <w:pPr>
        <w:pStyle w:val="2"/>
        <w:spacing w:line="440" w:lineRule="exact"/>
        <w:rPr>
          <w:rFonts w:ascii="楷体" w:hAnsi="楷体" w:eastAsia="楷体"/>
          <w:b/>
          <w:sz w:val="32"/>
          <w:szCs w:val="24"/>
        </w:rPr>
      </w:pPr>
    </w:p>
    <w:p>
      <w:pPr>
        <w:pStyle w:val="2"/>
        <w:spacing w:line="440" w:lineRule="exact"/>
        <w:rPr>
          <w:rFonts w:hint="eastAsia" w:ascii="楷体" w:hAnsi="楷体" w:eastAsia="楷体"/>
          <w:b/>
          <w:sz w:val="32"/>
          <w:szCs w:val="24"/>
        </w:rPr>
      </w:pPr>
    </w:p>
    <w:p>
      <w:pPr>
        <w:pStyle w:val="2"/>
        <w:spacing w:line="440" w:lineRule="exact"/>
        <w:rPr>
          <w:rFonts w:hint="eastAsia" w:ascii="楷体" w:hAnsi="楷体" w:eastAsia="楷体"/>
          <w:b/>
          <w:sz w:val="32"/>
          <w:szCs w:val="24"/>
        </w:rPr>
      </w:pPr>
    </w:p>
    <w:p>
      <w:pPr>
        <w:pStyle w:val="2"/>
        <w:spacing w:line="440" w:lineRule="exact"/>
        <w:rPr>
          <w:rFonts w:ascii="楷体" w:hAnsi="楷体" w:eastAsia="楷体"/>
          <w:b/>
          <w:sz w:val="32"/>
          <w:szCs w:val="24"/>
        </w:rPr>
      </w:pPr>
      <w:r>
        <w:rPr>
          <w:rFonts w:hint="eastAsia" w:ascii="楷体" w:hAnsi="楷体" w:eastAsia="楷体"/>
          <w:b/>
          <w:sz w:val="32"/>
          <w:szCs w:val="24"/>
        </w:rPr>
        <w:t>附件：</w:t>
      </w:r>
    </w:p>
    <w:p>
      <w:pPr>
        <w:spacing w:line="440" w:lineRule="exact"/>
        <w:ind w:firstLine="241" w:firstLineChars="100"/>
        <w:rPr>
          <w:rFonts w:ascii="楷体" w:hAnsi="楷体" w:eastAsia="楷体"/>
          <w:b/>
          <w:sz w:val="24"/>
          <w:szCs w:val="24"/>
        </w:rPr>
      </w:pPr>
      <w:r>
        <w:rPr>
          <w:rFonts w:hint="eastAsia" w:ascii="楷体" w:hAnsi="楷体" w:eastAsia="楷体"/>
          <w:b/>
          <w:sz w:val="24"/>
          <w:szCs w:val="24"/>
        </w:rPr>
        <w:t>附件一：吉首大学2018年招收硕士研究生政审调查表</w:t>
      </w:r>
    </w:p>
    <w:p>
      <w:pPr>
        <w:spacing w:line="440" w:lineRule="exact"/>
        <w:ind w:firstLine="241" w:firstLineChars="100"/>
        <w:rPr>
          <w:rFonts w:ascii="楷体" w:hAnsi="楷体" w:eastAsia="楷体"/>
          <w:b/>
          <w:bCs/>
          <w:sz w:val="24"/>
          <w:szCs w:val="24"/>
        </w:rPr>
      </w:pPr>
      <w:r>
        <w:rPr>
          <w:rFonts w:hint="eastAsia" w:ascii="楷体" w:hAnsi="楷体" w:eastAsia="楷体"/>
          <w:b/>
          <w:sz w:val="24"/>
          <w:szCs w:val="24"/>
        </w:rPr>
        <w:t>附件二：</w:t>
      </w:r>
      <w:r>
        <w:rPr>
          <w:rFonts w:hint="eastAsia" w:ascii="楷体" w:hAnsi="楷体" w:eastAsia="楷体"/>
          <w:b/>
          <w:bCs/>
          <w:sz w:val="24"/>
          <w:szCs w:val="24"/>
        </w:rPr>
        <w:t>信息科学与工程学院研究生复试工作流程</w:t>
      </w:r>
    </w:p>
    <w:p>
      <w:pPr>
        <w:spacing w:line="400" w:lineRule="exact"/>
        <w:jc w:val="center"/>
        <w:rPr>
          <w:rFonts w:ascii="楷体" w:hAnsi="楷体" w:eastAsia="楷体"/>
          <w:b/>
          <w:sz w:val="24"/>
          <w:szCs w:val="24"/>
        </w:rPr>
      </w:pPr>
    </w:p>
    <w:p>
      <w:pPr>
        <w:rPr>
          <w:rFonts w:hint="eastAsia" w:ascii="宋体" w:hAnsi="宋体"/>
          <w:sz w:val="28"/>
          <w:szCs w:val="28"/>
        </w:rPr>
      </w:pPr>
    </w:p>
    <w:p>
      <w:pPr>
        <w:rPr>
          <w:rFonts w:ascii="宋体" w:hAnsi="宋体"/>
          <w:sz w:val="28"/>
          <w:szCs w:val="28"/>
        </w:rPr>
      </w:pPr>
      <w:r>
        <w:rPr>
          <w:rFonts w:hint="eastAsia" w:ascii="宋体" w:hAnsi="宋体"/>
          <w:sz w:val="28"/>
          <w:szCs w:val="28"/>
        </w:rPr>
        <w:t>附件一</w:t>
      </w:r>
    </w:p>
    <w:p>
      <w:pPr>
        <w:rPr>
          <w:rFonts w:ascii="宋体" w:hAnsi="宋体"/>
          <w:sz w:val="28"/>
          <w:szCs w:val="28"/>
        </w:rPr>
      </w:pPr>
    </w:p>
    <w:p>
      <w:pPr>
        <w:jc w:val="center"/>
        <w:rPr>
          <w:rFonts w:ascii="宋体" w:hAnsi="宋体" w:eastAsia="宋体"/>
          <w:b/>
          <w:bCs/>
          <w:sz w:val="30"/>
          <w:szCs w:val="30"/>
        </w:rPr>
      </w:pPr>
      <w:r>
        <w:rPr>
          <w:rFonts w:hint="eastAsia" w:ascii="宋体" w:hAnsi="宋体" w:eastAsia="宋体"/>
          <w:b/>
          <w:bCs/>
          <w:sz w:val="30"/>
          <w:szCs w:val="30"/>
        </w:rPr>
        <w:t>吉首大学    年招收硕士研究生思想政治素质和品德考核表</w:t>
      </w:r>
    </w:p>
    <w:tbl>
      <w:tblPr>
        <w:tblStyle w:val="7"/>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750"/>
        <w:gridCol w:w="675"/>
        <w:gridCol w:w="1506"/>
        <w:gridCol w:w="874"/>
        <w:gridCol w:w="127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姓  名</w:t>
            </w:r>
          </w:p>
        </w:tc>
        <w:tc>
          <w:tcPr>
            <w:tcW w:w="1080" w:type="dxa"/>
            <w:tcBorders>
              <w:top w:val="single" w:color="auto" w:sz="4" w:space="0"/>
              <w:left w:val="nil"/>
              <w:bottom w:val="single" w:color="auto" w:sz="4" w:space="0"/>
              <w:right w:val="single" w:color="auto" w:sz="4" w:space="0"/>
            </w:tcBorders>
            <w:vAlign w:val="center"/>
          </w:tcPr>
          <w:p>
            <w:pPr>
              <w:rPr>
                <w:rFonts w:ascii="宋体" w:hAnsi="宋体" w:eastAsia="宋体"/>
                <w:sz w:val="24"/>
                <w:szCs w:val="24"/>
              </w:rPr>
            </w:pPr>
          </w:p>
        </w:tc>
        <w:tc>
          <w:tcPr>
            <w:tcW w:w="750" w:type="dxa"/>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性别</w:t>
            </w:r>
          </w:p>
        </w:tc>
        <w:tc>
          <w:tcPr>
            <w:tcW w:w="675" w:type="dxa"/>
            <w:tcBorders>
              <w:top w:val="single" w:color="auto" w:sz="4" w:space="0"/>
              <w:left w:val="nil"/>
              <w:bottom w:val="single" w:color="auto" w:sz="4" w:space="0"/>
              <w:right w:val="single" w:color="auto" w:sz="4" w:space="0"/>
            </w:tcBorders>
            <w:vAlign w:val="center"/>
          </w:tcPr>
          <w:p>
            <w:pPr>
              <w:rPr>
                <w:rFonts w:ascii="宋体" w:hAnsi="宋体" w:eastAsia="宋体"/>
                <w:sz w:val="24"/>
                <w:szCs w:val="24"/>
              </w:rPr>
            </w:pPr>
          </w:p>
        </w:tc>
        <w:tc>
          <w:tcPr>
            <w:tcW w:w="1506" w:type="dxa"/>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出生年月</w:t>
            </w:r>
          </w:p>
        </w:tc>
        <w:tc>
          <w:tcPr>
            <w:tcW w:w="874" w:type="dxa"/>
            <w:tcBorders>
              <w:top w:val="single" w:color="auto" w:sz="4" w:space="0"/>
              <w:left w:val="nil"/>
              <w:bottom w:val="single" w:color="auto" w:sz="4" w:space="0"/>
              <w:right w:val="single" w:color="auto" w:sz="4" w:space="0"/>
            </w:tcBorders>
            <w:vAlign w:val="center"/>
          </w:tcPr>
          <w:p>
            <w:pPr>
              <w:rPr>
                <w:rFonts w:ascii="宋体" w:hAnsi="宋体" w:eastAsia="宋体"/>
                <w:sz w:val="24"/>
                <w:szCs w:val="24"/>
              </w:rPr>
            </w:pP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政治面貌</w:t>
            </w:r>
          </w:p>
        </w:tc>
        <w:tc>
          <w:tcPr>
            <w:tcW w:w="908" w:type="dxa"/>
            <w:tcBorders>
              <w:top w:val="single" w:color="auto" w:sz="4" w:space="0"/>
              <w:left w:val="nil"/>
              <w:bottom w:val="single" w:color="auto" w:sz="4" w:space="0"/>
              <w:right w:val="single" w:color="auto" w:sz="4" w:space="0"/>
            </w:tcBorders>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身份证号码</w:t>
            </w:r>
          </w:p>
        </w:tc>
        <w:tc>
          <w:tcPr>
            <w:tcW w:w="2505" w:type="dxa"/>
            <w:gridSpan w:val="3"/>
            <w:tcBorders>
              <w:top w:val="single" w:color="auto" w:sz="4" w:space="0"/>
              <w:left w:val="nil"/>
              <w:bottom w:val="single" w:color="auto" w:sz="4" w:space="0"/>
              <w:right w:val="single" w:color="auto" w:sz="4" w:space="0"/>
            </w:tcBorders>
            <w:vAlign w:val="center"/>
          </w:tcPr>
          <w:p>
            <w:pPr>
              <w:rPr>
                <w:rFonts w:ascii="宋体" w:hAnsi="宋体" w:eastAsia="宋体"/>
                <w:sz w:val="24"/>
                <w:szCs w:val="24"/>
              </w:rPr>
            </w:pPr>
          </w:p>
        </w:tc>
        <w:tc>
          <w:tcPr>
            <w:tcW w:w="1506" w:type="dxa"/>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学习或</w:t>
            </w:r>
          </w:p>
          <w:p>
            <w:pPr>
              <w:jc w:val="center"/>
              <w:rPr>
                <w:rFonts w:ascii="宋体" w:hAnsi="宋体" w:eastAsia="宋体"/>
                <w:sz w:val="24"/>
                <w:szCs w:val="24"/>
              </w:rPr>
            </w:pPr>
            <w:r>
              <w:rPr>
                <w:rFonts w:hint="eastAsia" w:ascii="宋体" w:hAnsi="宋体" w:eastAsia="宋体"/>
                <w:sz w:val="24"/>
                <w:szCs w:val="24"/>
              </w:rPr>
              <w:t>工作单位</w:t>
            </w:r>
          </w:p>
        </w:tc>
        <w:tc>
          <w:tcPr>
            <w:tcW w:w="3057" w:type="dxa"/>
            <w:gridSpan w:val="3"/>
            <w:tcBorders>
              <w:top w:val="single" w:color="auto" w:sz="4" w:space="0"/>
              <w:left w:val="nil"/>
              <w:bottom w:val="single" w:color="auto" w:sz="4" w:space="0"/>
              <w:right w:val="single" w:color="auto" w:sz="4" w:space="0"/>
            </w:tcBorders>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报考（调入）学院</w:t>
            </w:r>
          </w:p>
        </w:tc>
        <w:tc>
          <w:tcPr>
            <w:tcW w:w="2505"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p>
        </w:tc>
        <w:tc>
          <w:tcPr>
            <w:tcW w:w="238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报考（调入）专业</w:t>
            </w:r>
          </w:p>
        </w:tc>
        <w:tc>
          <w:tcPr>
            <w:tcW w:w="2183" w:type="dxa"/>
            <w:gridSpan w:val="2"/>
            <w:tcBorders>
              <w:top w:val="single" w:color="auto" w:sz="4" w:space="0"/>
              <w:left w:val="nil"/>
              <w:bottom w:val="single" w:color="auto" w:sz="4" w:space="0"/>
              <w:right w:val="single" w:color="auto" w:sz="4" w:space="0"/>
            </w:tcBorders>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9" w:hRule="atLeast"/>
        </w:trPr>
        <w:tc>
          <w:tcPr>
            <w:tcW w:w="8616" w:type="dxa"/>
            <w:gridSpan w:val="8"/>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r>
              <w:rPr>
                <w:rFonts w:hint="eastAsia" w:ascii="宋体" w:hAnsi="宋体" w:eastAsia="宋体"/>
              </w:rPr>
              <w:t>考生本人档案所在单位人事（政治工作）部门对该生的政治态度，思想表现、工作学习态度、道德品质、遵纪守法、诚实守信等方面的介绍：（内容较多时可有附页）</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所在单位人事（政治工作）部门负责人（加盖公章）：</w:t>
            </w:r>
          </w:p>
          <w:p>
            <w:pPr>
              <w:jc w:val="center"/>
              <w:rPr>
                <w:rFonts w:ascii="宋体" w:hAnsi="宋体" w:eastAsia="宋体"/>
                <w:sz w:val="24"/>
                <w:szCs w:val="24"/>
              </w:rPr>
            </w:pPr>
            <w:r>
              <w:rPr>
                <w:rFonts w:hint="eastAsia" w:ascii="宋体" w:hAnsi="宋体" w:eastAsia="宋体"/>
                <w:sz w:val="24"/>
                <w:szCs w:val="24"/>
              </w:rPr>
              <w:t xml:space="preserve">                                             </w:t>
            </w:r>
          </w:p>
          <w:p>
            <w:pPr>
              <w:jc w:val="center"/>
              <w:rPr>
                <w:rFonts w:ascii="宋体" w:hAnsi="宋体" w:eastAsia="宋体"/>
                <w:sz w:val="24"/>
                <w:szCs w:val="24"/>
              </w:rPr>
            </w:pPr>
            <w:r>
              <w:rPr>
                <w:rFonts w:hint="eastAsia" w:ascii="宋体" w:hAnsi="宋体" w:eastAsia="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8" w:hRule="atLeast"/>
        </w:trPr>
        <w:tc>
          <w:tcPr>
            <w:tcW w:w="8616" w:type="dxa"/>
            <w:gridSpan w:val="8"/>
            <w:tcBorders>
              <w:top w:val="single" w:color="auto" w:sz="4" w:space="0"/>
              <w:left w:val="single" w:color="auto" w:sz="4" w:space="0"/>
              <w:bottom w:val="single" w:color="auto" w:sz="4" w:space="0"/>
              <w:right w:val="single" w:color="auto" w:sz="4" w:space="0"/>
            </w:tcBorders>
          </w:tcPr>
          <w:p>
            <w:pPr>
              <w:jc w:val="left"/>
              <w:rPr>
                <w:rFonts w:ascii="宋体" w:hAnsi="宋体" w:eastAsia="宋体"/>
                <w:sz w:val="24"/>
                <w:szCs w:val="24"/>
              </w:rPr>
            </w:pPr>
            <w:r>
              <w:rPr>
                <w:rFonts w:hint="eastAsia" w:ascii="宋体" w:hAnsi="宋体" w:eastAsia="宋体"/>
                <w:sz w:val="24"/>
                <w:szCs w:val="24"/>
              </w:rPr>
              <w:t>招生单位考核意见：</w:t>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 xml:space="preserve"> 考核人签名:                 学院(公章):             年   月    日</w:t>
            </w:r>
          </w:p>
        </w:tc>
      </w:tr>
    </w:tbl>
    <w:p>
      <w:pPr>
        <w:ind w:firstLine="315" w:firstLineChars="150"/>
        <w:rPr>
          <w:rFonts w:ascii="宋体" w:hAnsi="宋体" w:eastAsia="宋体" w:cs="Times New Roman"/>
          <w:szCs w:val="21"/>
        </w:rPr>
      </w:pPr>
      <w:r>
        <w:rPr>
          <w:rFonts w:hint="eastAsia" w:ascii="宋体" w:hAnsi="宋体" w:eastAsia="宋体"/>
        </w:rPr>
        <w:t>说明：1、本表由考生档案所在单位的人事、政工部门加盖印章；无学习或工作单位考生由户口所在乡镇、街道办事处填写并加盖公章。2、</w:t>
      </w:r>
      <w:r>
        <w:rPr>
          <w:rFonts w:hint="eastAsia" w:ascii="宋体" w:hAnsi="宋体" w:eastAsia="宋体"/>
          <w:b/>
        </w:rPr>
        <w:t>另附考生本人书面自我鉴定</w:t>
      </w:r>
      <w:r>
        <w:rPr>
          <w:rFonts w:hint="eastAsia" w:ascii="宋体" w:hAnsi="宋体" w:eastAsia="宋体"/>
        </w:rPr>
        <w:t>（自我鉴定要写清考生本人毕业后到入学前期间的学习或工作经历，并按本表中的要求对自己的现实表现进行自我鉴定）。</w:t>
      </w:r>
    </w:p>
    <w:p>
      <w:pPr>
        <w:rPr>
          <w:rFonts w:ascii="仿宋_GB2312" w:hAnsi="仿宋_GB2312"/>
          <w:sz w:val="28"/>
          <w:szCs w:val="28"/>
        </w:rPr>
        <w:sectPr>
          <w:pgSz w:w="12240" w:h="15840"/>
          <w:pgMar w:top="1440" w:right="1800" w:bottom="1440" w:left="1800" w:header="720" w:footer="720" w:gutter="0"/>
          <w:cols w:space="720" w:num="1"/>
        </w:sectPr>
      </w:pPr>
    </w:p>
    <w:p>
      <w:pPr>
        <w:rPr>
          <w:rFonts w:ascii="宋体" w:hAnsi="宋体"/>
          <w:sz w:val="28"/>
          <w:szCs w:val="28"/>
        </w:rPr>
      </w:pPr>
      <w:r>
        <w:rPr>
          <w:rFonts w:hint="eastAsia" w:ascii="宋体" w:hAnsi="宋体"/>
          <w:sz w:val="28"/>
          <w:szCs w:val="28"/>
        </w:rPr>
        <w:t>附件二</w:t>
      </w:r>
    </w:p>
    <w:p>
      <w:pPr>
        <w:spacing w:before="156" w:beforeLines="50" w:after="156" w:afterLines="50" w:line="440" w:lineRule="exact"/>
        <w:jc w:val="center"/>
        <w:rPr>
          <w:rFonts w:ascii="楷体" w:hAnsi="楷体" w:eastAsia="楷体"/>
          <w:b/>
          <w:sz w:val="28"/>
          <w:szCs w:val="24"/>
        </w:rPr>
      </w:pPr>
      <w:r>
        <w:rPr>
          <w:rFonts w:hint="eastAsia" w:ascii="楷体" w:hAnsi="楷体" w:eastAsia="楷体"/>
          <w:b/>
          <w:sz w:val="28"/>
          <w:szCs w:val="24"/>
        </w:rPr>
        <w:t>吉首大学信息科学与工程学院</w:t>
      </w:r>
      <w:r>
        <w:rPr>
          <w:rFonts w:ascii="楷体" w:hAnsi="楷体" w:eastAsia="楷体"/>
          <w:b/>
          <w:sz w:val="28"/>
          <w:szCs w:val="24"/>
        </w:rPr>
        <w:t>2019</w:t>
      </w:r>
      <w:r>
        <w:rPr>
          <w:rFonts w:hint="eastAsia" w:ascii="楷体" w:hAnsi="楷体" w:eastAsia="楷体"/>
          <w:b/>
          <w:sz w:val="28"/>
          <w:szCs w:val="24"/>
        </w:rPr>
        <w:t>年硕士研究生复试流程安排表</w:t>
      </w:r>
    </w:p>
    <w:tbl>
      <w:tblPr>
        <w:tblStyle w:val="7"/>
        <w:tblW w:w="8199" w:type="dxa"/>
        <w:jc w:val="center"/>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424"/>
        <w:gridCol w:w="1667"/>
        <w:gridCol w:w="241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57" w:hRule="atLeast"/>
          <w:jc w:val="center"/>
        </w:trPr>
        <w:tc>
          <w:tcPr>
            <w:tcW w:w="3091" w:type="dxa"/>
            <w:gridSpan w:val="2"/>
            <w:shd w:val="clear" w:color="auto" w:fill="auto"/>
            <w:tcMar>
              <w:top w:w="0" w:type="dxa"/>
              <w:left w:w="108" w:type="dxa"/>
              <w:bottom w:w="0" w:type="dxa"/>
              <w:right w:w="108" w:type="dxa"/>
            </w:tcMar>
            <w:vAlign w:val="center"/>
          </w:tcPr>
          <w:p>
            <w:pPr>
              <w:widowControl/>
              <w:jc w:val="center"/>
              <w:rPr>
                <w:rFonts w:ascii="楷体" w:hAnsi="楷体" w:eastAsia="楷体" w:cs="Arial"/>
                <w:b/>
                <w:kern w:val="0"/>
                <w:sz w:val="18"/>
                <w:szCs w:val="18"/>
              </w:rPr>
            </w:pPr>
            <w:r>
              <w:rPr>
                <w:rFonts w:hint="eastAsia" w:ascii="楷体" w:hAnsi="楷体" w:eastAsia="楷体" w:cs="Times New Roman"/>
                <w:b/>
                <w:kern w:val="0"/>
                <w:sz w:val="24"/>
                <w:szCs w:val="24"/>
              </w:rPr>
              <w:t>复试时间</w:t>
            </w:r>
          </w:p>
        </w:tc>
        <w:tc>
          <w:tcPr>
            <w:tcW w:w="2415" w:type="dxa"/>
            <w:shd w:val="clear" w:color="auto" w:fill="auto"/>
            <w:tcMar>
              <w:top w:w="0" w:type="dxa"/>
              <w:left w:w="108" w:type="dxa"/>
              <w:bottom w:w="0" w:type="dxa"/>
              <w:right w:w="108" w:type="dxa"/>
            </w:tcMar>
            <w:vAlign w:val="center"/>
          </w:tcPr>
          <w:p>
            <w:pPr>
              <w:widowControl/>
              <w:jc w:val="center"/>
              <w:rPr>
                <w:rFonts w:ascii="楷体" w:hAnsi="楷体" w:eastAsia="楷体" w:cs="Arial"/>
                <w:b/>
                <w:kern w:val="0"/>
                <w:sz w:val="18"/>
                <w:szCs w:val="18"/>
              </w:rPr>
            </w:pPr>
            <w:r>
              <w:rPr>
                <w:rFonts w:hint="eastAsia" w:ascii="楷体" w:hAnsi="楷体" w:eastAsia="楷体" w:cs="Times New Roman"/>
                <w:b/>
                <w:kern w:val="0"/>
                <w:sz w:val="24"/>
                <w:szCs w:val="24"/>
              </w:rPr>
              <w:t>复试项目</w:t>
            </w:r>
          </w:p>
        </w:tc>
        <w:tc>
          <w:tcPr>
            <w:tcW w:w="2693" w:type="dxa"/>
            <w:shd w:val="clear" w:color="auto" w:fill="auto"/>
            <w:tcMar>
              <w:top w:w="0" w:type="dxa"/>
              <w:left w:w="108" w:type="dxa"/>
              <w:bottom w:w="0" w:type="dxa"/>
              <w:right w:w="108" w:type="dxa"/>
            </w:tcMar>
            <w:vAlign w:val="center"/>
          </w:tcPr>
          <w:p>
            <w:pPr>
              <w:widowControl/>
              <w:jc w:val="center"/>
              <w:rPr>
                <w:rFonts w:ascii="楷体" w:hAnsi="楷体" w:eastAsia="楷体" w:cs="Arial"/>
                <w:b/>
                <w:kern w:val="0"/>
                <w:sz w:val="18"/>
                <w:szCs w:val="18"/>
              </w:rPr>
            </w:pPr>
            <w:r>
              <w:rPr>
                <w:rFonts w:hint="eastAsia" w:ascii="楷体" w:hAnsi="楷体" w:eastAsia="楷体" w:cs="Times New Roman"/>
                <w:b/>
                <w:kern w:val="0"/>
                <w:sz w:val="24"/>
                <w:szCs w:val="24"/>
              </w:rPr>
              <w:t>复试地点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3" w:hRule="atLeast"/>
          <w:jc w:val="center"/>
        </w:trPr>
        <w:tc>
          <w:tcPr>
            <w:tcW w:w="1424" w:type="dxa"/>
            <w:shd w:val="clear" w:color="auto" w:fill="auto"/>
            <w:tcMar>
              <w:top w:w="0" w:type="dxa"/>
              <w:left w:w="108" w:type="dxa"/>
              <w:bottom w:w="0" w:type="dxa"/>
              <w:right w:w="108" w:type="dxa"/>
            </w:tcMar>
            <w:vAlign w:val="center"/>
          </w:tcPr>
          <w:p>
            <w:pPr>
              <w:widowControl/>
              <w:jc w:val="center"/>
              <w:rPr>
                <w:rFonts w:hint="eastAsia" w:ascii="楷体" w:hAnsi="楷体" w:eastAsia="楷体" w:cs="Times New Roman"/>
                <w:b/>
                <w:kern w:val="0"/>
                <w:sz w:val="24"/>
                <w:szCs w:val="24"/>
                <w:lang w:val="en-US" w:eastAsia="zh-CN"/>
              </w:rPr>
            </w:pPr>
            <w:r>
              <w:rPr>
                <w:rFonts w:hint="eastAsia" w:ascii="楷体" w:hAnsi="楷体" w:eastAsia="楷体" w:cs="Times New Roman"/>
                <w:b/>
                <w:kern w:val="0"/>
                <w:sz w:val="24"/>
                <w:szCs w:val="24"/>
              </w:rPr>
              <w:t>4</w:t>
            </w:r>
            <w:r>
              <w:rPr>
                <w:rFonts w:ascii="楷体" w:hAnsi="楷体" w:eastAsia="楷体" w:cs="Times New Roman"/>
                <w:b/>
                <w:kern w:val="0"/>
                <w:sz w:val="24"/>
                <w:szCs w:val="24"/>
              </w:rPr>
              <w:t>.1</w:t>
            </w:r>
            <w:r>
              <w:rPr>
                <w:rFonts w:hint="eastAsia" w:ascii="楷体" w:hAnsi="楷体" w:eastAsia="楷体" w:cs="Times New Roman"/>
                <w:b/>
                <w:kern w:val="0"/>
                <w:sz w:val="24"/>
                <w:szCs w:val="24"/>
                <w:lang w:val="en-US" w:eastAsia="zh-CN"/>
              </w:rPr>
              <w:t>0</w:t>
            </w:r>
          </w:p>
        </w:tc>
        <w:tc>
          <w:tcPr>
            <w:tcW w:w="1667"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全天</w:t>
            </w:r>
          </w:p>
        </w:tc>
        <w:tc>
          <w:tcPr>
            <w:tcW w:w="2415"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报到、心理测试</w:t>
            </w:r>
          </w:p>
        </w:tc>
        <w:tc>
          <w:tcPr>
            <w:tcW w:w="2693"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新工科大楼</w:t>
            </w:r>
            <w:r>
              <w:rPr>
                <w:rFonts w:ascii="楷体" w:hAnsi="楷体" w:eastAsia="楷体" w:cs="Times New Roman"/>
                <w:b/>
                <w:kern w:val="0"/>
                <w:sz w:val="24"/>
                <w:szCs w:val="24"/>
              </w:rPr>
              <w:t>C326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atLeast"/>
          <w:jc w:val="center"/>
        </w:trPr>
        <w:tc>
          <w:tcPr>
            <w:tcW w:w="1424" w:type="dxa"/>
            <w:vMerge w:val="restart"/>
            <w:shd w:val="clear" w:color="auto" w:fill="auto"/>
            <w:tcMar>
              <w:top w:w="0" w:type="dxa"/>
              <w:left w:w="108" w:type="dxa"/>
              <w:bottom w:w="0" w:type="dxa"/>
              <w:right w:w="108" w:type="dxa"/>
            </w:tcMar>
            <w:vAlign w:val="center"/>
          </w:tcPr>
          <w:p>
            <w:pPr>
              <w:jc w:val="center"/>
              <w:rPr>
                <w:rFonts w:hint="default" w:ascii="楷体" w:hAnsi="楷体" w:eastAsia="楷体" w:cs="Times New Roman"/>
                <w:b/>
                <w:kern w:val="0"/>
                <w:sz w:val="24"/>
                <w:szCs w:val="24"/>
                <w:lang w:val="en-US" w:eastAsia="zh-CN"/>
              </w:rPr>
            </w:pPr>
            <w:r>
              <w:rPr>
                <w:rFonts w:hint="eastAsia" w:ascii="楷体" w:hAnsi="楷体" w:eastAsia="楷体" w:cs="Times New Roman"/>
                <w:b/>
                <w:kern w:val="0"/>
                <w:sz w:val="24"/>
                <w:szCs w:val="24"/>
              </w:rPr>
              <w:t>4</w:t>
            </w:r>
            <w:r>
              <w:rPr>
                <w:rFonts w:ascii="楷体" w:hAnsi="楷体" w:eastAsia="楷体" w:cs="Times New Roman"/>
                <w:b/>
                <w:kern w:val="0"/>
                <w:sz w:val="24"/>
                <w:szCs w:val="24"/>
              </w:rPr>
              <w:t>.</w:t>
            </w:r>
            <w:r>
              <w:rPr>
                <w:rFonts w:hint="eastAsia" w:ascii="楷体" w:hAnsi="楷体" w:eastAsia="楷体" w:cs="Times New Roman"/>
                <w:b/>
                <w:kern w:val="0"/>
                <w:sz w:val="24"/>
                <w:szCs w:val="24"/>
                <w:lang w:val="en-US" w:eastAsia="zh-CN"/>
              </w:rPr>
              <w:t>11</w:t>
            </w:r>
          </w:p>
        </w:tc>
        <w:tc>
          <w:tcPr>
            <w:tcW w:w="1667"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上午</w:t>
            </w:r>
          </w:p>
        </w:tc>
        <w:tc>
          <w:tcPr>
            <w:tcW w:w="2415"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体检</w:t>
            </w:r>
          </w:p>
        </w:tc>
        <w:tc>
          <w:tcPr>
            <w:tcW w:w="2693"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校医院体检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atLeast"/>
          <w:jc w:val="center"/>
        </w:trPr>
        <w:tc>
          <w:tcPr>
            <w:tcW w:w="1424" w:type="dxa"/>
            <w:vMerge w:val="continue"/>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p>
        </w:tc>
        <w:tc>
          <w:tcPr>
            <w:tcW w:w="1667" w:type="dxa"/>
            <w:shd w:val="clear" w:color="auto" w:fill="auto"/>
            <w:tcMar>
              <w:top w:w="0" w:type="dxa"/>
              <w:left w:w="108" w:type="dxa"/>
              <w:bottom w:w="0" w:type="dxa"/>
              <w:right w:w="108" w:type="dxa"/>
            </w:tcMar>
            <w:vAlign w:val="center"/>
          </w:tcPr>
          <w:p>
            <w:pPr>
              <w:widowControl/>
              <w:jc w:val="center"/>
              <w:rPr>
                <w:rFonts w:hint="eastAsia" w:ascii="楷体" w:hAnsi="楷体" w:eastAsia="楷体" w:cs="Times New Roman"/>
                <w:b/>
                <w:kern w:val="0"/>
                <w:sz w:val="24"/>
                <w:szCs w:val="24"/>
              </w:rPr>
            </w:pPr>
            <w:r>
              <w:rPr>
                <w:rFonts w:hint="eastAsia" w:ascii="楷体" w:hAnsi="楷体" w:eastAsia="楷体" w:cs="Times New Roman"/>
                <w:b/>
                <w:kern w:val="0"/>
                <w:sz w:val="24"/>
                <w:szCs w:val="24"/>
              </w:rPr>
              <w:t>下午</w:t>
            </w:r>
          </w:p>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15：00-17：00</w:t>
            </w:r>
          </w:p>
        </w:tc>
        <w:tc>
          <w:tcPr>
            <w:tcW w:w="2415"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专业课笔试</w:t>
            </w:r>
          </w:p>
        </w:tc>
        <w:tc>
          <w:tcPr>
            <w:tcW w:w="2693"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地点报到时通知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 w:hRule="atLeast"/>
          <w:jc w:val="center"/>
        </w:trPr>
        <w:tc>
          <w:tcPr>
            <w:tcW w:w="1424" w:type="dxa"/>
            <w:shd w:val="clear" w:color="auto" w:fill="auto"/>
            <w:tcMar>
              <w:top w:w="0" w:type="dxa"/>
              <w:left w:w="108" w:type="dxa"/>
              <w:bottom w:w="0" w:type="dxa"/>
              <w:right w:w="108" w:type="dxa"/>
            </w:tcMar>
            <w:vAlign w:val="center"/>
          </w:tcPr>
          <w:p>
            <w:pPr>
              <w:widowControl/>
              <w:jc w:val="center"/>
              <w:rPr>
                <w:rFonts w:hint="default" w:ascii="楷体" w:hAnsi="楷体" w:eastAsia="楷体" w:cs="Times New Roman"/>
                <w:b/>
                <w:kern w:val="0"/>
                <w:sz w:val="24"/>
                <w:szCs w:val="24"/>
                <w:lang w:val="en-US" w:eastAsia="zh-CN"/>
              </w:rPr>
            </w:pPr>
            <w:r>
              <w:rPr>
                <w:rFonts w:hint="eastAsia" w:ascii="楷体" w:hAnsi="楷体" w:eastAsia="楷体" w:cs="Times New Roman"/>
                <w:b/>
                <w:kern w:val="0"/>
                <w:sz w:val="24"/>
                <w:szCs w:val="24"/>
              </w:rPr>
              <w:t>4</w:t>
            </w:r>
            <w:r>
              <w:rPr>
                <w:rFonts w:ascii="楷体" w:hAnsi="楷体" w:eastAsia="楷体" w:cs="Times New Roman"/>
                <w:b/>
                <w:kern w:val="0"/>
                <w:sz w:val="24"/>
                <w:szCs w:val="24"/>
              </w:rPr>
              <w:t>.</w:t>
            </w:r>
            <w:r>
              <w:rPr>
                <w:rFonts w:hint="eastAsia" w:ascii="楷体" w:hAnsi="楷体" w:eastAsia="楷体" w:cs="Times New Roman"/>
                <w:b/>
                <w:kern w:val="0"/>
                <w:sz w:val="24"/>
                <w:szCs w:val="24"/>
                <w:lang w:val="en-US" w:eastAsia="zh-CN"/>
              </w:rPr>
              <w:t>12-4.13</w:t>
            </w:r>
          </w:p>
        </w:tc>
        <w:tc>
          <w:tcPr>
            <w:tcW w:w="1667" w:type="dxa"/>
            <w:shd w:val="clear" w:color="auto" w:fill="auto"/>
            <w:tcMar>
              <w:top w:w="0" w:type="dxa"/>
              <w:left w:w="108" w:type="dxa"/>
              <w:bottom w:w="0" w:type="dxa"/>
              <w:right w:w="108" w:type="dxa"/>
            </w:tcMar>
            <w:vAlign w:val="center"/>
          </w:tcPr>
          <w:p>
            <w:pPr>
              <w:widowControl/>
              <w:jc w:val="center"/>
              <w:rPr>
                <w:rFonts w:hint="eastAsia" w:ascii="楷体" w:hAnsi="楷体" w:eastAsia="楷体" w:cs="Times New Roman"/>
                <w:b/>
                <w:kern w:val="0"/>
                <w:sz w:val="24"/>
                <w:szCs w:val="24"/>
              </w:rPr>
            </w:pPr>
            <w:r>
              <w:rPr>
                <w:rFonts w:hint="eastAsia" w:ascii="楷体" w:hAnsi="楷体" w:eastAsia="楷体" w:cs="Times New Roman"/>
                <w:b/>
                <w:kern w:val="0"/>
                <w:sz w:val="24"/>
                <w:szCs w:val="24"/>
              </w:rPr>
              <w:t>上午</w:t>
            </w:r>
          </w:p>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8：00-12：00</w:t>
            </w:r>
          </w:p>
        </w:tc>
        <w:tc>
          <w:tcPr>
            <w:tcW w:w="2415"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ascii="楷体" w:hAnsi="楷体" w:eastAsia="楷体" w:cs="Times New Roman"/>
                <w:b/>
                <w:kern w:val="0"/>
                <w:sz w:val="24"/>
                <w:szCs w:val="24"/>
              </w:rPr>
              <w:t>思想政治素质和道德品质考核、</w:t>
            </w:r>
          </w:p>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外语能力测试、</w:t>
            </w:r>
          </w:p>
          <w:p>
            <w:pPr>
              <w:widowControl/>
              <w:jc w:val="center"/>
              <w:rPr>
                <w:rFonts w:ascii="楷体" w:hAnsi="楷体" w:eastAsia="楷体" w:cs="Times New Roman"/>
                <w:b/>
                <w:kern w:val="0"/>
                <w:sz w:val="24"/>
                <w:szCs w:val="24"/>
              </w:rPr>
            </w:pPr>
            <w:r>
              <w:rPr>
                <w:rFonts w:ascii="楷体" w:hAnsi="楷体" w:eastAsia="楷体" w:cs="Times New Roman"/>
                <w:b/>
                <w:kern w:val="0"/>
                <w:sz w:val="24"/>
                <w:szCs w:val="24"/>
              </w:rPr>
              <w:t>综合素质及能力测试</w:t>
            </w:r>
          </w:p>
        </w:tc>
        <w:tc>
          <w:tcPr>
            <w:tcW w:w="2693" w:type="dxa"/>
            <w:shd w:val="clear" w:color="auto" w:fill="auto"/>
            <w:tcMar>
              <w:top w:w="0" w:type="dxa"/>
              <w:left w:w="108" w:type="dxa"/>
              <w:bottom w:w="0" w:type="dxa"/>
              <w:right w:w="108" w:type="dxa"/>
            </w:tcMar>
            <w:vAlign w:val="center"/>
          </w:tcPr>
          <w:p>
            <w:pPr>
              <w:widowControl/>
              <w:jc w:val="center"/>
              <w:rPr>
                <w:rFonts w:ascii="楷体" w:hAnsi="楷体" w:eastAsia="楷体" w:cs="Times New Roman"/>
                <w:b/>
                <w:kern w:val="0"/>
                <w:sz w:val="24"/>
                <w:szCs w:val="24"/>
              </w:rPr>
            </w:pPr>
            <w:r>
              <w:rPr>
                <w:rFonts w:hint="eastAsia" w:ascii="楷体" w:hAnsi="楷体" w:eastAsia="楷体" w:cs="Times New Roman"/>
                <w:b/>
                <w:kern w:val="0"/>
                <w:sz w:val="24"/>
                <w:szCs w:val="24"/>
              </w:rPr>
              <w:t>新工科大楼C</w:t>
            </w:r>
            <w:r>
              <w:rPr>
                <w:rFonts w:ascii="楷体" w:hAnsi="楷体" w:eastAsia="楷体" w:cs="Times New Roman"/>
                <w:b/>
                <w:kern w:val="0"/>
                <w:sz w:val="24"/>
                <w:szCs w:val="24"/>
              </w:rPr>
              <w:t>326</w:t>
            </w:r>
          </w:p>
        </w:tc>
      </w:tr>
    </w:tbl>
    <w:p>
      <w:pPr>
        <w:spacing w:line="400" w:lineRule="exact"/>
        <w:jc w:val="center"/>
        <w:rPr>
          <w:rFonts w:ascii="楷体" w:hAnsi="楷体" w:eastAsia="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93"/>
    <w:rsid w:val="000038F5"/>
    <w:rsid w:val="00013B59"/>
    <w:rsid w:val="0009287E"/>
    <w:rsid w:val="00143D02"/>
    <w:rsid w:val="00180132"/>
    <w:rsid w:val="001C1ACA"/>
    <w:rsid w:val="001D2825"/>
    <w:rsid w:val="001F089C"/>
    <w:rsid w:val="00294168"/>
    <w:rsid w:val="002A1317"/>
    <w:rsid w:val="002B26DD"/>
    <w:rsid w:val="002C25B1"/>
    <w:rsid w:val="003110CE"/>
    <w:rsid w:val="00334966"/>
    <w:rsid w:val="003541A9"/>
    <w:rsid w:val="003664E3"/>
    <w:rsid w:val="003E26B9"/>
    <w:rsid w:val="00414996"/>
    <w:rsid w:val="004240F6"/>
    <w:rsid w:val="004466B7"/>
    <w:rsid w:val="0048375A"/>
    <w:rsid w:val="00516E29"/>
    <w:rsid w:val="0055714C"/>
    <w:rsid w:val="005C16A9"/>
    <w:rsid w:val="006B7A09"/>
    <w:rsid w:val="006C4D5D"/>
    <w:rsid w:val="006C7742"/>
    <w:rsid w:val="007769DA"/>
    <w:rsid w:val="007A7D56"/>
    <w:rsid w:val="007C4E55"/>
    <w:rsid w:val="00811721"/>
    <w:rsid w:val="00811EEC"/>
    <w:rsid w:val="00881C26"/>
    <w:rsid w:val="00885765"/>
    <w:rsid w:val="008C3113"/>
    <w:rsid w:val="008C42A0"/>
    <w:rsid w:val="00904B38"/>
    <w:rsid w:val="0092235F"/>
    <w:rsid w:val="00955244"/>
    <w:rsid w:val="0098322F"/>
    <w:rsid w:val="009B1BFC"/>
    <w:rsid w:val="009C2D2D"/>
    <w:rsid w:val="00A75A5A"/>
    <w:rsid w:val="00A91FDC"/>
    <w:rsid w:val="00AF0DED"/>
    <w:rsid w:val="00B57067"/>
    <w:rsid w:val="00B9792C"/>
    <w:rsid w:val="00BC46FE"/>
    <w:rsid w:val="00BC7B50"/>
    <w:rsid w:val="00C03CE7"/>
    <w:rsid w:val="00C372B2"/>
    <w:rsid w:val="00C73474"/>
    <w:rsid w:val="00C925B3"/>
    <w:rsid w:val="00CB55F2"/>
    <w:rsid w:val="00CD7293"/>
    <w:rsid w:val="00CF26A3"/>
    <w:rsid w:val="00D13067"/>
    <w:rsid w:val="00D75B0C"/>
    <w:rsid w:val="00DE2B5D"/>
    <w:rsid w:val="00DF4680"/>
    <w:rsid w:val="00E25A7C"/>
    <w:rsid w:val="00E963F1"/>
    <w:rsid w:val="00EA7469"/>
    <w:rsid w:val="00EC43FA"/>
    <w:rsid w:val="00EF1506"/>
    <w:rsid w:val="00F264B0"/>
    <w:rsid w:val="03F42861"/>
    <w:rsid w:val="07F43AD0"/>
    <w:rsid w:val="26667581"/>
    <w:rsid w:val="36373B51"/>
    <w:rsid w:val="3B00291B"/>
    <w:rsid w:val="3CDD52B4"/>
    <w:rsid w:val="3E140768"/>
    <w:rsid w:val="438B0003"/>
    <w:rsid w:val="50933FB8"/>
    <w:rsid w:val="6AE84BDC"/>
    <w:rsid w:val="7209275E"/>
    <w:rsid w:val="7D52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2"/>
    <w:uiPriority w:val="0"/>
    <w:rPr>
      <w:rFonts w:ascii="宋体" w:hAnsi="Courier New" w:eastAsia="宋体" w:cs="Courier New"/>
      <w:szCs w:val="21"/>
    </w:rPr>
  </w:style>
  <w:style w:type="paragraph" w:styleId="3">
    <w:name w:val="Balloon Text"/>
    <w:basedOn w:val="1"/>
    <w:link w:val="15"/>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纯文本 Char"/>
    <w:basedOn w:val="8"/>
    <w:link w:val="2"/>
    <w:qFormat/>
    <w:uiPriority w:val="0"/>
    <w:rPr>
      <w:rFonts w:ascii="宋体" w:hAnsi="Courier New" w:eastAsia="宋体" w:cs="Courier New"/>
      <w:szCs w:val="21"/>
    </w:r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4">
    <w:name w:val="15"/>
    <w:basedOn w:val="8"/>
    <w:uiPriority w:val="0"/>
    <w:rPr>
      <w:rFonts w:hint="default" w:ascii="Times New Roman" w:hAnsi="Times New Roman" w:cs="Times New Roman"/>
      <w:color w:val="0000FF"/>
      <w:u w:val="single"/>
    </w:rPr>
  </w:style>
  <w:style w:type="character" w:customStyle="1" w:styleId="15">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AA612-071D-445F-B494-10746C74F4FC}">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567</Words>
  <Characters>3235</Characters>
  <Lines>26</Lines>
  <Paragraphs>7</Paragraphs>
  <TotalTime>18</TotalTime>
  <ScaleCrop>false</ScaleCrop>
  <LinksUpToDate>false</LinksUpToDate>
  <CharactersWithSpaces>3795</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2019-03-26T04:10:00Z</dcterms:created>
  <dc:creator>Dr. Kai-Qing Zhou</dc:creator>
  <cp:lastModifiedBy>WB</cp:lastModifiedBy>
  <cp:lastPrinted>2019-03-27T07:31:00Z</cp:lastPrinted>
  <dcterms:modified xsi:type="dcterms:W3CDTF">2019-04-07T02:39:32Z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